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F2F2" w14:textId="7855287E" w:rsidR="006C0BAF" w:rsidRPr="003818FE" w:rsidRDefault="003818FE" w:rsidP="003818FE">
      <w:pPr>
        <w:pBdr>
          <w:top w:val="single" w:sz="4" w:space="1" w:color="auto"/>
          <w:left w:val="single" w:sz="4" w:space="4" w:color="auto"/>
          <w:bottom w:val="single" w:sz="4" w:space="1" w:color="auto"/>
          <w:right w:val="single" w:sz="4" w:space="4" w:color="auto"/>
        </w:pBdr>
        <w:jc w:val="center"/>
        <w:rPr>
          <w:b/>
          <w:bCs/>
          <w:sz w:val="32"/>
          <w:szCs w:val="32"/>
        </w:rPr>
      </w:pPr>
      <w:bookmarkStart w:id="0" w:name="_Hlk190938927"/>
      <w:r w:rsidRPr="003818FE">
        <w:rPr>
          <w:b/>
          <w:bCs/>
          <w:sz w:val="32"/>
          <w:szCs w:val="32"/>
        </w:rPr>
        <w:t>Le point sur</w:t>
      </w:r>
      <w:r w:rsidR="006C642E" w:rsidRPr="003818FE">
        <w:rPr>
          <w:b/>
          <w:bCs/>
          <w:sz w:val="32"/>
          <w:szCs w:val="32"/>
        </w:rPr>
        <w:t xml:space="preserve"> protoxyde d’azote, substance addictive dont l’usage est dangereux à court et long terme</w:t>
      </w:r>
    </w:p>
    <w:p w14:paraId="3E47F696" w14:textId="5022833D" w:rsidR="006C642E" w:rsidRPr="006C642E" w:rsidRDefault="006C642E" w:rsidP="003818FE">
      <w:pPr>
        <w:jc w:val="both"/>
      </w:pPr>
      <w:bookmarkStart w:id="1" w:name="_Hlk190938940"/>
      <w:bookmarkEnd w:id="0"/>
      <w:r w:rsidRPr="006C642E">
        <w:t xml:space="preserve">Le protoxyde d’azote (N₂O), également connu sous les noms de "gaz hilarant", "happy </w:t>
      </w:r>
      <w:proofErr w:type="spellStart"/>
      <w:r w:rsidRPr="006C642E">
        <w:t>balloon</w:t>
      </w:r>
      <w:proofErr w:type="spellEnd"/>
      <w:r w:rsidRPr="006C642E">
        <w:t xml:space="preserve">" ou "proto", est un </w:t>
      </w:r>
      <w:r w:rsidRPr="006C642E">
        <w:rPr>
          <w:b/>
          <w:bCs/>
        </w:rPr>
        <w:t xml:space="preserve">gaz </w:t>
      </w:r>
      <w:r w:rsidR="000D3848" w:rsidRPr="000D3848">
        <w:rPr>
          <w:b/>
          <w:bCs/>
        </w:rPr>
        <w:t>inhalé</w:t>
      </w:r>
      <w:r w:rsidR="000D3848">
        <w:t xml:space="preserve">, </w:t>
      </w:r>
      <w:r w:rsidR="003818FE">
        <w:t>actuellement détourné de son usage légal</w:t>
      </w:r>
      <w:r w:rsidR="007B043A">
        <w:t xml:space="preserve"> médical comme adjuvant d’anesthésie et culinaire comme gaz porteur dans les siphons à chantilly</w:t>
      </w:r>
      <w:r w:rsidRPr="006C642E">
        <w:t>.</w:t>
      </w:r>
    </w:p>
    <w:bookmarkEnd w:id="1"/>
    <w:p w14:paraId="178FCA26" w14:textId="0E2EB09A" w:rsidR="006C642E" w:rsidRDefault="006C642E" w:rsidP="003818FE">
      <w:pPr>
        <w:jc w:val="both"/>
      </w:pPr>
      <w:r w:rsidRPr="006C642E">
        <w:t xml:space="preserve">Conditionné sous forme de </w:t>
      </w:r>
      <w:r w:rsidR="007B043A">
        <w:t xml:space="preserve">petites </w:t>
      </w:r>
      <w:r w:rsidRPr="006C642E">
        <w:t xml:space="preserve">cartouches ou de </w:t>
      </w:r>
      <w:r w:rsidR="007B043A">
        <w:t xml:space="preserve">grandes </w:t>
      </w:r>
      <w:r w:rsidRPr="006C642E">
        <w:t>bonbonnes</w:t>
      </w:r>
      <w:r w:rsidR="00D5258F">
        <w:t xml:space="preserve"> </w:t>
      </w:r>
      <w:r w:rsidR="00114C86">
        <w:t xml:space="preserve">allant jusqu’à </w:t>
      </w:r>
      <w:r w:rsidR="00D5258F">
        <w:t>la taille d’un extincteur</w:t>
      </w:r>
      <w:r w:rsidR="003818FE">
        <w:t xml:space="preserve"> (équivalent à une dizaine voire une centaine de cartouches)</w:t>
      </w:r>
      <w:r w:rsidRPr="006C642E">
        <w:t xml:space="preserve">, son </w:t>
      </w:r>
      <w:r w:rsidR="003818FE">
        <w:t>inhalation</w:t>
      </w:r>
      <w:r w:rsidRPr="006C642E">
        <w:t xml:space="preserve"> à des fins </w:t>
      </w:r>
      <w:r w:rsidR="000D3848">
        <w:t>« </w:t>
      </w:r>
      <w:r w:rsidRPr="006C642E">
        <w:t>récréatives</w:t>
      </w:r>
      <w:r w:rsidR="000D3848">
        <w:t> »</w:t>
      </w:r>
      <w:r w:rsidRPr="006C642E">
        <w:t xml:space="preserve"> est en forte augmentation, en particulier chez les jeunes</w:t>
      </w:r>
      <w:r w:rsidR="007B043A">
        <w:t xml:space="preserve">. Ce détournement est </w:t>
      </w:r>
      <w:r w:rsidR="00D5258F">
        <w:t>à l’origine d’un fléau sanitaire</w:t>
      </w:r>
      <w:r w:rsidRPr="006C642E">
        <w:t>.</w:t>
      </w:r>
    </w:p>
    <w:p w14:paraId="2940C5A5" w14:textId="77777777" w:rsidR="003818FE" w:rsidRDefault="003818FE"/>
    <w:p w14:paraId="3981FA43" w14:textId="68E02946" w:rsidR="003818FE" w:rsidRPr="003818FE" w:rsidRDefault="003818FE" w:rsidP="003818FE">
      <w:pPr>
        <w:pBdr>
          <w:top w:val="single" w:sz="4" w:space="1" w:color="auto"/>
          <w:left w:val="single" w:sz="4" w:space="4" w:color="auto"/>
          <w:bottom w:val="single" w:sz="4" w:space="1" w:color="auto"/>
          <w:right w:val="single" w:sz="4" w:space="4" w:color="auto"/>
        </w:pBdr>
        <w:jc w:val="both"/>
        <w:rPr>
          <w:sz w:val="28"/>
          <w:szCs w:val="28"/>
        </w:rPr>
      </w:pPr>
      <w:r w:rsidRPr="003818FE">
        <w:rPr>
          <w:sz w:val="28"/>
          <w:szCs w:val="28"/>
        </w:rPr>
        <w:t>Statut légal du protoxyde d’azote</w:t>
      </w:r>
    </w:p>
    <w:p w14:paraId="40E94AC6" w14:textId="4637027D" w:rsidR="003818FE" w:rsidRPr="003818FE" w:rsidRDefault="003818FE" w:rsidP="003818FE">
      <w:pPr>
        <w:pStyle w:val="Paragraphedeliste"/>
        <w:numPr>
          <w:ilvl w:val="0"/>
          <w:numId w:val="5"/>
        </w:numPr>
        <w:jc w:val="both"/>
        <w:rPr>
          <w:b/>
          <w:bCs/>
          <w:u w:val="single"/>
        </w:rPr>
      </w:pPr>
      <w:r w:rsidRPr="003818FE">
        <w:rPr>
          <w:b/>
          <w:bCs/>
          <w:u w:val="single"/>
        </w:rPr>
        <w:t>Usage domestique :</w:t>
      </w:r>
    </w:p>
    <w:p w14:paraId="31364D1A" w14:textId="04585D82" w:rsidR="003818FE" w:rsidRDefault="003818FE" w:rsidP="003818FE">
      <w:pPr>
        <w:jc w:val="both"/>
      </w:pPr>
      <w:bookmarkStart w:id="2" w:name="_Hlk191019138"/>
      <w:r>
        <w:t>Le protoxyde d’azote utilisé comme gaz propulseur (cartouches et capsules pour siphon à chantilly) est un produit licite, mais sa vente est interdite aux mineurs (loi du 1er juin 2021).</w:t>
      </w:r>
    </w:p>
    <w:p w14:paraId="1A13D96B" w14:textId="4D07F3CE" w:rsidR="003818FE" w:rsidRDefault="003818FE" w:rsidP="003818FE">
      <w:pPr>
        <w:jc w:val="both"/>
      </w:pPr>
      <w:r>
        <w:t>La loi punit également de 15 000 euros d’amende le fait d’encourager un mineur à consommer un produit de consommation courante dans le but d’en retirer des effets psychoactifs.</w:t>
      </w:r>
    </w:p>
    <w:bookmarkEnd w:id="2"/>
    <w:p w14:paraId="4236BE3E" w14:textId="2FFBEC66" w:rsidR="003818FE" w:rsidRPr="003818FE" w:rsidRDefault="003818FE" w:rsidP="003818FE">
      <w:pPr>
        <w:pStyle w:val="Paragraphedeliste"/>
        <w:numPr>
          <w:ilvl w:val="0"/>
          <w:numId w:val="5"/>
        </w:numPr>
        <w:jc w:val="both"/>
        <w:rPr>
          <w:b/>
          <w:bCs/>
          <w:u w:val="single"/>
        </w:rPr>
      </w:pPr>
      <w:r w:rsidRPr="003818FE">
        <w:rPr>
          <w:b/>
          <w:bCs/>
          <w:u w:val="single"/>
        </w:rPr>
        <w:t>Usage médical :</w:t>
      </w:r>
    </w:p>
    <w:p w14:paraId="6537BE06" w14:textId="13F80FA5" w:rsidR="003818FE" w:rsidRDefault="003818FE" w:rsidP="003818FE">
      <w:pPr>
        <w:jc w:val="both"/>
      </w:pPr>
      <w:r>
        <w:t xml:space="preserve">• le protoxyde d’azote utilisé comme médicament est inscrit sur la liste </w:t>
      </w:r>
      <w:r w:rsidR="009C39B1">
        <w:t xml:space="preserve">I </w:t>
      </w:r>
      <w:r>
        <w:t>des substances vénéneuses </w:t>
      </w:r>
      <w:r w:rsidR="007B043A">
        <w:t xml:space="preserve">comme adjuvant d’anesthésie </w:t>
      </w:r>
      <w:r>
        <w:t>;</w:t>
      </w:r>
    </w:p>
    <w:p w14:paraId="5E53DFEE" w14:textId="06EAEEE1" w:rsidR="003818FE" w:rsidRDefault="003818FE" w:rsidP="003818FE">
      <w:pPr>
        <w:jc w:val="both"/>
      </w:pPr>
      <w:r>
        <w:t>• lorsqu’il s’agit du MEOPA (gaz composé à part égale d’oxygène et de protoxyde d’azote), il suit une partie de la réglementation des stupéfiants ;</w:t>
      </w:r>
    </w:p>
    <w:p w14:paraId="1045732D" w14:textId="67B6F49F" w:rsidR="003818FE" w:rsidRDefault="003818FE" w:rsidP="003818FE">
      <w:pPr>
        <w:jc w:val="both"/>
      </w:pPr>
      <w:r>
        <w:t>Le stockage des bonbonnes de gaz à usage médical est sécurisé</w:t>
      </w:r>
      <w:r w:rsidR="007B043A">
        <w:t xml:space="preserve"> dans le circuit pharmaceutique</w:t>
      </w:r>
      <w:r>
        <w:t>, ce qui permet de réduire leur accessibilité.</w:t>
      </w:r>
    </w:p>
    <w:p w14:paraId="2EC9B8CE" w14:textId="1A885AA7" w:rsidR="003818FE" w:rsidRPr="003818FE" w:rsidRDefault="003818FE" w:rsidP="003818FE">
      <w:pPr>
        <w:pStyle w:val="Paragraphedeliste"/>
        <w:numPr>
          <w:ilvl w:val="0"/>
          <w:numId w:val="5"/>
        </w:numPr>
        <w:jc w:val="both"/>
        <w:rPr>
          <w:b/>
          <w:bCs/>
          <w:u w:val="single"/>
        </w:rPr>
      </w:pPr>
      <w:r w:rsidRPr="003818FE">
        <w:rPr>
          <w:b/>
          <w:bCs/>
          <w:u w:val="single"/>
        </w:rPr>
        <w:t>Usage industriel :</w:t>
      </w:r>
    </w:p>
    <w:p w14:paraId="58C93D54" w14:textId="0BC3946D" w:rsidR="003818FE" w:rsidRDefault="003818FE" w:rsidP="003818FE">
      <w:pPr>
        <w:jc w:val="both"/>
      </w:pPr>
      <w:r>
        <w:t>Le protoxyde d’azote utilisé comme agent comburant dans les laboratoires et industrie électronique, automobile et aérospatiale est licite.</w:t>
      </w:r>
    </w:p>
    <w:p w14:paraId="21056628" w14:textId="2E344959" w:rsidR="003818FE" w:rsidRDefault="003818FE" w:rsidP="00AA6098">
      <w:pPr>
        <w:pStyle w:val="Paragraphedeliste"/>
        <w:numPr>
          <w:ilvl w:val="0"/>
          <w:numId w:val="5"/>
        </w:numPr>
        <w:jc w:val="both"/>
      </w:pPr>
      <w:r w:rsidRPr="003818FE">
        <w:rPr>
          <w:b/>
          <w:bCs/>
          <w:u w:val="single"/>
        </w:rPr>
        <w:t>Proposition de loi visant à restreindre la vente de protoxyde d’azote aux seuls professionnels et à renforcer les actions de prévention sur les consommations détournées, n° 580, déposée le mardi 19 novembre 2024</w:t>
      </w:r>
      <w:r>
        <w:t> :</w:t>
      </w:r>
      <w:r w:rsidR="000E5993">
        <w:t xml:space="preserve"> </w:t>
      </w:r>
      <w:hyperlink r:id="rId8" w:history="1">
        <w:r w:rsidR="000E5993" w:rsidRPr="000E5993">
          <w:rPr>
            <w:rStyle w:val="Lienhypertexte"/>
          </w:rPr>
          <w:t>Proposition de loi, n° 580 - 17e législature - Assemblée nationale</w:t>
        </w:r>
      </w:hyperlink>
    </w:p>
    <w:p w14:paraId="42790598" w14:textId="3A2331CC" w:rsidR="000E5993" w:rsidRDefault="003818FE" w:rsidP="00AA6098">
      <w:pPr>
        <w:jc w:val="both"/>
      </w:pPr>
      <w:r w:rsidRPr="003818FE">
        <w:t>Ce produit est facilement accessible à faibles coûts sur internet, ainsi que dans les commerces de proximité et les supermarchés. Bien qu’il soit légal, la loi n° 2021</w:t>
      </w:r>
      <w:r w:rsidRPr="003818FE">
        <w:rPr>
          <w:rFonts w:ascii="Cambria Math" w:hAnsi="Cambria Math" w:cs="Cambria Math"/>
        </w:rPr>
        <w:t>‑</w:t>
      </w:r>
      <w:r w:rsidRPr="003818FE">
        <w:t>695 du 1</w:t>
      </w:r>
      <w:r w:rsidRPr="000E5993">
        <w:rPr>
          <w:vertAlign w:val="superscript"/>
        </w:rPr>
        <w:t>er</w:t>
      </w:r>
      <w:r w:rsidRPr="003818FE">
        <w:t xml:space="preserve"> juin 2021 interdit sa vente aux mineurs</w:t>
      </w:r>
      <w:r w:rsidR="007B043A">
        <w:t xml:space="preserve"> mais cette interdiction</w:t>
      </w:r>
      <w:r w:rsidR="000E5993">
        <w:t xml:space="preserve"> ne constitue </w:t>
      </w:r>
      <w:r w:rsidR="007B043A">
        <w:t xml:space="preserve">actuellement </w:t>
      </w:r>
      <w:r w:rsidR="000E5993">
        <w:t>pas une mesure suffisante.</w:t>
      </w:r>
      <w:r w:rsidR="0067659A">
        <w:t xml:space="preserve"> </w:t>
      </w:r>
      <w:r w:rsidR="000E5993" w:rsidRPr="000E5993">
        <w:t>En effet, la consommation de ce gaz est telle qu’il représente désormais la troisième substance la plus consommée par les jeunes, en dehors de l’alcool et du tabac, selon la préfecture de police de Paris.</w:t>
      </w:r>
    </w:p>
    <w:p w14:paraId="2968B199" w14:textId="002DB65C" w:rsidR="000E5993" w:rsidRDefault="000E5993" w:rsidP="00114C86">
      <w:pPr>
        <w:jc w:val="both"/>
      </w:pPr>
      <w:r w:rsidRPr="000E5993">
        <w:lastRenderedPageBreak/>
        <w:t xml:space="preserve">En Angleterre, </w:t>
      </w:r>
      <w:r w:rsidR="00CF246F">
        <w:t>à la suite de</w:t>
      </w:r>
      <w:r w:rsidRPr="000E5993">
        <w:t xml:space="preserve"> 56 décès entre 2001 et 2020 </w:t>
      </w:r>
      <w:r w:rsidR="0067659A">
        <w:t xml:space="preserve">après </w:t>
      </w:r>
      <w:r w:rsidR="0067659A" w:rsidRPr="000E5993">
        <w:t>le</w:t>
      </w:r>
      <w:r w:rsidR="00CF246F">
        <w:t xml:space="preserve"> détournement massif </w:t>
      </w:r>
      <w:r w:rsidRPr="000E5993">
        <w:t xml:space="preserve">du protoxyde d’azote, le gouvernement britannique a adopté </w:t>
      </w:r>
      <w:r>
        <w:t xml:space="preserve">en 2023 </w:t>
      </w:r>
      <w:r w:rsidRPr="000E5993">
        <w:t>une législation stricte interdisant la détention et la consommation du produit à des fins récréatives. Aux Pays</w:t>
      </w:r>
      <w:r w:rsidRPr="000E5993">
        <w:rPr>
          <w:rFonts w:ascii="Cambria Math" w:hAnsi="Cambria Math" w:cs="Cambria Math"/>
        </w:rPr>
        <w:t>‑</w:t>
      </w:r>
      <w:r w:rsidRPr="000E5993">
        <w:t>Bas, l</w:t>
      </w:r>
      <w:r w:rsidRPr="000E5993">
        <w:rPr>
          <w:rFonts w:ascii="Aptos" w:hAnsi="Aptos" w:cs="Aptos"/>
        </w:rPr>
        <w:t>’</w:t>
      </w:r>
      <w:r w:rsidRPr="000E5993">
        <w:t>usage r</w:t>
      </w:r>
      <w:r w:rsidRPr="000E5993">
        <w:rPr>
          <w:rFonts w:ascii="Aptos" w:hAnsi="Aptos" w:cs="Aptos"/>
        </w:rPr>
        <w:t>é</w:t>
      </w:r>
      <w:r w:rsidRPr="000E5993">
        <w:t>cr</w:t>
      </w:r>
      <w:r w:rsidRPr="000E5993">
        <w:rPr>
          <w:rFonts w:ascii="Aptos" w:hAnsi="Aptos" w:cs="Aptos"/>
        </w:rPr>
        <w:t>é</w:t>
      </w:r>
      <w:r w:rsidRPr="000E5993">
        <w:t>atif du protoxyde d</w:t>
      </w:r>
      <w:r w:rsidRPr="000E5993">
        <w:rPr>
          <w:rFonts w:ascii="Aptos" w:hAnsi="Aptos" w:cs="Aptos"/>
        </w:rPr>
        <w:t>’</w:t>
      </w:r>
      <w:r w:rsidRPr="000E5993">
        <w:t xml:space="preserve">azote est </w:t>
      </w:r>
      <w:r w:rsidRPr="000E5993">
        <w:rPr>
          <w:rFonts w:ascii="Aptos" w:hAnsi="Aptos" w:cs="Aptos"/>
        </w:rPr>
        <w:t>é</w:t>
      </w:r>
      <w:r w:rsidRPr="000E5993">
        <w:t>galement interdit depuis le 1</w:t>
      </w:r>
      <w:r w:rsidRPr="000E5993">
        <w:rPr>
          <w:vertAlign w:val="superscript"/>
        </w:rPr>
        <w:t>er</w:t>
      </w:r>
      <w:r w:rsidRPr="000E5993">
        <w:t xml:space="preserve"> janvier 2023.</w:t>
      </w:r>
    </w:p>
    <w:p w14:paraId="521A9BDD" w14:textId="4F6B027B" w:rsidR="00114C86" w:rsidRDefault="000E5993" w:rsidP="00114C86">
      <w:pPr>
        <w:jc w:val="both"/>
      </w:pPr>
      <w:r>
        <w:t xml:space="preserve">La France a décidé de </w:t>
      </w:r>
      <w:r w:rsidRPr="000E5993">
        <w:t xml:space="preserve">légiférer sur l’accessibilité du produit en </w:t>
      </w:r>
      <w:r>
        <w:t xml:space="preserve">novembre 2024, en </w:t>
      </w:r>
      <w:r w:rsidRPr="000E5993">
        <w:t>interdisant</w:t>
      </w:r>
      <w:r>
        <w:t xml:space="preserve"> en janvier 2026,</w:t>
      </w:r>
      <w:r w:rsidRPr="000E5993">
        <w:t xml:space="preserve"> la vente aux particuliers, dans les commerces physiques et en ligne. La vente doit être réservée aux professionnels de</w:t>
      </w:r>
      <w:r w:rsidR="00CF246F">
        <w:t>s métiers de</w:t>
      </w:r>
      <w:r w:rsidRPr="000E5993">
        <w:t xml:space="preserve"> la cuisine et du</w:t>
      </w:r>
      <w:r w:rsidR="00CF246F">
        <w:t xml:space="preserve"> domaine</w:t>
      </w:r>
      <w:r w:rsidRPr="000E5993">
        <w:t xml:space="preserve"> médical. </w:t>
      </w:r>
    </w:p>
    <w:p w14:paraId="3FB0C5BC" w14:textId="584E6236" w:rsidR="000E5993" w:rsidRDefault="000E5993" w:rsidP="00114C86">
      <w:pPr>
        <w:jc w:val="both"/>
      </w:pPr>
      <w:r w:rsidRPr="000E5993">
        <w:t xml:space="preserve">Cette proposition de loi prévoit également un axe majeur de prévention sous l’égide de la MILDECA (Mission interministérielle de lutte contre les drogues et les conduites addictives, placée sous l’autorité du Premier ministre). </w:t>
      </w:r>
    </w:p>
    <w:p w14:paraId="3E893376" w14:textId="77777777" w:rsidR="003818FE" w:rsidRDefault="003818FE">
      <w:bookmarkStart w:id="3" w:name="_Hlk190938972"/>
    </w:p>
    <w:p w14:paraId="0826E586" w14:textId="2198B506" w:rsidR="003818FE" w:rsidRPr="003818FE" w:rsidRDefault="003818FE" w:rsidP="003818FE">
      <w:pPr>
        <w:pBdr>
          <w:top w:val="single" w:sz="4" w:space="1" w:color="auto"/>
          <w:left w:val="single" w:sz="4" w:space="4" w:color="auto"/>
          <w:bottom w:val="single" w:sz="4" w:space="1" w:color="auto"/>
          <w:right w:val="single" w:sz="4" w:space="4" w:color="auto"/>
        </w:pBdr>
        <w:rPr>
          <w:sz w:val="28"/>
          <w:szCs w:val="28"/>
        </w:rPr>
      </w:pPr>
      <w:r w:rsidRPr="003818FE">
        <w:rPr>
          <w:sz w:val="28"/>
          <w:szCs w:val="28"/>
        </w:rPr>
        <w:t>Usage du protoxyde d’azote en Occitanie</w:t>
      </w:r>
    </w:p>
    <w:p w14:paraId="02297368" w14:textId="77777777" w:rsidR="00581E1B" w:rsidRDefault="000D3848" w:rsidP="00AF1DB6">
      <w:pPr>
        <w:jc w:val="both"/>
      </w:pPr>
      <w:r w:rsidRPr="000D3848">
        <w:t xml:space="preserve">Dans la région </w:t>
      </w:r>
      <w:r>
        <w:t>Occitanie</w:t>
      </w:r>
      <w:r w:rsidRPr="000D3848">
        <w:t xml:space="preserve">, </w:t>
      </w:r>
      <w:r w:rsidR="00AF1DB6" w:rsidRPr="00AF1DB6">
        <w:t>sur la période 2022-2024</w:t>
      </w:r>
      <w:r w:rsidR="00581E1B">
        <w:t> :</w:t>
      </w:r>
    </w:p>
    <w:p w14:paraId="3ECC7D63" w14:textId="77777777" w:rsidR="00581E1B" w:rsidRDefault="000D3848" w:rsidP="00AF1DB6">
      <w:pPr>
        <w:pStyle w:val="Paragraphedeliste"/>
        <w:numPr>
          <w:ilvl w:val="0"/>
          <w:numId w:val="12"/>
        </w:numPr>
        <w:jc w:val="both"/>
      </w:pPr>
      <w:r w:rsidRPr="000D3848">
        <w:t>l</w:t>
      </w:r>
      <w:r w:rsidR="00AF1DB6" w:rsidRPr="00AF1DB6">
        <w:t xml:space="preserve">e Centre d’addictovigilance de Montpellier (région Occitanie-Est) a recensé </w:t>
      </w:r>
      <w:r w:rsidR="00AF1DB6" w:rsidRPr="00581E1B">
        <w:rPr>
          <w:b/>
          <w:bCs/>
        </w:rPr>
        <w:t>134 notifications d’addictovigilance</w:t>
      </w:r>
      <w:r w:rsidR="00AF1DB6" w:rsidRPr="00AF1DB6">
        <w:t xml:space="preserve"> concernant l’usage non médical de protoxyde d’azote : cela représente 11,3% des notifications reçues sur la période.</w:t>
      </w:r>
    </w:p>
    <w:p w14:paraId="07B490FE" w14:textId="77777777" w:rsidR="00581E1B" w:rsidRDefault="00AF1DB6" w:rsidP="00581E1B">
      <w:pPr>
        <w:pStyle w:val="Paragraphedeliste"/>
        <w:ind w:left="765"/>
        <w:jc w:val="both"/>
      </w:pPr>
      <w:r w:rsidRPr="00AF1DB6">
        <w:t xml:space="preserve">Les usagers sont jeunes avec un âge médian de 22-23 ans, principalement de hommes. </w:t>
      </w:r>
    </w:p>
    <w:p w14:paraId="7FAABF74" w14:textId="77777777" w:rsidR="00581E1B" w:rsidRDefault="00AF1DB6" w:rsidP="00581E1B">
      <w:pPr>
        <w:pStyle w:val="Paragraphedeliste"/>
        <w:ind w:left="765"/>
        <w:jc w:val="both"/>
      </w:pPr>
      <w:r w:rsidRPr="00AF1DB6">
        <w:t xml:space="preserve">Sur la période la part des femmes a augmenté de 21,9% en 2022 à 34,9% en 2024. </w:t>
      </w:r>
    </w:p>
    <w:p w14:paraId="4BF825F0" w14:textId="77777777" w:rsidR="00581E1B" w:rsidRDefault="00AF1DB6" w:rsidP="00581E1B">
      <w:pPr>
        <w:pStyle w:val="Paragraphedeliste"/>
        <w:ind w:left="765"/>
        <w:jc w:val="both"/>
      </w:pPr>
      <w:r w:rsidRPr="00AF1DB6">
        <w:t xml:space="preserve">Les notifications sont graves dans 74% (au moins hospitalisation en lien avec l’usage). </w:t>
      </w:r>
    </w:p>
    <w:p w14:paraId="2A61B9D6" w14:textId="77777777" w:rsidR="00581E1B" w:rsidRDefault="00AF1DB6" w:rsidP="00581E1B">
      <w:pPr>
        <w:pStyle w:val="Paragraphedeliste"/>
        <w:ind w:left="765"/>
        <w:jc w:val="both"/>
      </w:pPr>
      <w:r w:rsidRPr="00AF1DB6">
        <w:t xml:space="preserve">La principale </w:t>
      </w:r>
      <w:proofErr w:type="spellStart"/>
      <w:r w:rsidRPr="00AF1DB6">
        <w:t>co</w:t>
      </w:r>
      <w:proofErr w:type="spellEnd"/>
      <w:r w:rsidRPr="00AF1DB6">
        <w:t xml:space="preserve">-consommation est représentée par le cannabis. </w:t>
      </w:r>
    </w:p>
    <w:p w14:paraId="770161DC" w14:textId="77777777" w:rsidR="00581E1B" w:rsidRDefault="00AF1DB6" w:rsidP="00581E1B">
      <w:pPr>
        <w:pStyle w:val="Paragraphedeliste"/>
        <w:ind w:left="765"/>
        <w:jc w:val="both"/>
      </w:pPr>
      <w:r w:rsidRPr="00AF1DB6">
        <w:t>Les complications ayant données lieu à une notification sont principalement des complications neurologiques périphériques et neuropsychiatriques.</w:t>
      </w:r>
      <w:bookmarkEnd w:id="3"/>
    </w:p>
    <w:p w14:paraId="1F8A5F60" w14:textId="77777777" w:rsidR="00581E1B" w:rsidRDefault="00581E1B" w:rsidP="00581E1B">
      <w:pPr>
        <w:pStyle w:val="Paragraphedeliste"/>
        <w:ind w:left="765"/>
        <w:jc w:val="both"/>
      </w:pPr>
    </w:p>
    <w:p w14:paraId="7241C405" w14:textId="474C4753" w:rsidR="00581E1B" w:rsidRDefault="00581E1B" w:rsidP="00581E1B">
      <w:pPr>
        <w:pStyle w:val="Paragraphedeliste"/>
        <w:numPr>
          <w:ilvl w:val="0"/>
          <w:numId w:val="12"/>
        </w:numPr>
        <w:jc w:val="both"/>
      </w:pPr>
      <w:r>
        <w:t xml:space="preserve">le Centre d’addictovigilance de Toulouse (région Occitanie-Ouest) a enregistré un total de </w:t>
      </w:r>
      <w:r w:rsidRPr="00581E1B">
        <w:rPr>
          <w:b/>
          <w:bCs/>
        </w:rPr>
        <w:t>33 notifications liées à l’usage non médical de protoxyde d’azote</w:t>
      </w:r>
      <w:r>
        <w:t xml:space="preserve">, ce qui représente 6,1% des notifications reçues durant cette période. </w:t>
      </w:r>
    </w:p>
    <w:p w14:paraId="76201560" w14:textId="77777777" w:rsidR="00581E1B" w:rsidRDefault="00581E1B" w:rsidP="00581E1B">
      <w:pPr>
        <w:pStyle w:val="Paragraphedeliste"/>
        <w:ind w:left="765"/>
        <w:jc w:val="both"/>
      </w:pPr>
      <w:r>
        <w:t xml:space="preserve">L’âge médian des usagers se situe entre [14 - 38 ans], avec une moyenne d’âge de 20,7 ans, et une majorité de femmes (69%). </w:t>
      </w:r>
    </w:p>
    <w:p w14:paraId="1C133FB6" w14:textId="77777777" w:rsidR="00581E1B" w:rsidRDefault="00581E1B" w:rsidP="00581E1B">
      <w:pPr>
        <w:pStyle w:val="Paragraphedeliste"/>
        <w:ind w:left="765"/>
        <w:jc w:val="both"/>
      </w:pPr>
      <w:r>
        <w:t xml:space="preserve">L’âge médian des femmes est compris entre [14 - 22 ans], tandis que pour les hommes, il varie de [18 - 38 ans]. </w:t>
      </w:r>
    </w:p>
    <w:p w14:paraId="2A891605" w14:textId="77777777" w:rsidR="00581E1B" w:rsidRDefault="00581E1B" w:rsidP="00581E1B">
      <w:pPr>
        <w:pStyle w:val="Paragraphedeliste"/>
        <w:ind w:left="765"/>
        <w:jc w:val="both"/>
      </w:pPr>
      <w:r>
        <w:t xml:space="preserve">Les notifications concernent des cas graves dans 76% des cas (prolongation d’hospitalisation liée à l’usage). </w:t>
      </w:r>
    </w:p>
    <w:p w14:paraId="769351E2" w14:textId="77777777" w:rsidR="00581E1B" w:rsidRDefault="00581E1B" w:rsidP="00581E1B">
      <w:pPr>
        <w:pStyle w:val="Paragraphedeliste"/>
        <w:ind w:left="765"/>
        <w:jc w:val="both"/>
      </w:pPr>
      <w:r>
        <w:t xml:space="preserve">Dans 61% des cas, le protoxyde d’azote est le seul produit consommé, sinon on retrouve le plus souvent le cannabis et la cocaïne. </w:t>
      </w:r>
    </w:p>
    <w:p w14:paraId="4502F5D1" w14:textId="0CB94E3B" w:rsidR="00581E1B" w:rsidRDefault="00581E1B" w:rsidP="00581E1B">
      <w:pPr>
        <w:pStyle w:val="Paragraphedeliste"/>
        <w:ind w:left="765"/>
        <w:jc w:val="both"/>
      </w:pPr>
      <w:r>
        <w:t>Les complications les plus souvent signalées sont de nature neurologique (sclérose combinée subaigüe de la moelle, polyneuropathie, incontinence, ataxie...) et psychiatrique (catatonie, psychose).</w:t>
      </w:r>
    </w:p>
    <w:p w14:paraId="4342B5E1" w14:textId="77777777" w:rsidR="00C36863" w:rsidRDefault="00C36863" w:rsidP="000D3848"/>
    <w:p w14:paraId="7B24FED0" w14:textId="77777777" w:rsidR="00581E1B" w:rsidRDefault="00581E1B" w:rsidP="000D3848"/>
    <w:p w14:paraId="08911051" w14:textId="77777777" w:rsidR="00581E1B" w:rsidRDefault="00581E1B" w:rsidP="000D3848"/>
    <w:p w14:paraId="681E8186" w14:textId="77777777" w:rsidR="00581E1B" w:rsidRDefault="00581E1B" w:rsidP="000D3848"/>
    <w:p w14:paraId="6AC30DBE" w14:textId="40BAA5DE" w:rsidR="000D3848" w:rsidRPr="000D3848" w:rsidRDefault="000D3848" w:rsidP="000D3848">
      <w:pPr>
        <w:pBdr>
          <w:top w:val="single" w:sz="4" w:space="1" w:color="auto"/>
          <w:left w:val="single" w:sz="4" w:space="4" w:color="auto"/>
          <w:bottom w:val="single" w:sz="4" w:space="1" w:color="auto"/>
          <w:right w:val="single" w:sz="4" w:space="4" w:color="auto"/>
        </w:pBdr>
        <w:jc w:val="center"/>
        <w:rPr>
          <w:sz w:val="28"/>
          <w:szCs w:val="28"/>
        </w:rPr>
      </w:pPr>
      <w:r w:rsidRPr="000D3848">
        <w:rPr>
          <w:sz w:val="28"/>
          <w:szCs w:val="28"/>
        </w:rPr>
        <w:t>Protoxyde d’azote : quels sont les risques pour la santé</w:t>
      </w:r>
      <w:r w:rsidRPr="000D3848">
        <w:rPr>
          <w:rFonts w:ascii="Arial" w:hAnsi="Arial" w:cs="Arial"/>
          <w:sz w:val="28"/>
          <w:szCs w:val="28"/>
        </w:rPr>
        <w:t> </w:t>
      </w:r>
      <w:r w:rsidRPr="000D3848">
        <w:rPr>
          <w:sz w:val="28"/>
          <w:szCs w:val="28"/>
        </w:rPr>
        <w:t>?</w:t>
      </w:r>
      <w:r w:rsidRPr="000D3848">
        <w:rPr>
          <w:rFonts w:ascii="Arial" w:hAnsi="Arial" w:cs="Arial"/>
          <w:sz w:val="28"/>
          <w:szCs w:val="28"/>
        </w:rPr>
        <w:t> </w:t>
      </w:r>
    </w:p>
    <w:p w14:paraId="3D6F8A45" w14:textId="0A29FBF9" w:rsidR="000E5993" w:rsidRDefault="000E5993" w:rsidP="00AA6098">
      <w:pPr>
        <w:jc w:val="both"/>
      </w:pPr>
      <w:r w:rsidRPr="000E5993">
        <w:rPr>
          <w:b/>
          <w:bCs/>
          <w:color w:val="FF0000"/>
        </w:rPr>
        <w:t>Idée fausse</w:t>
      </w:r>
      <w:r w:rsidRPr="000E5993">
        <w:rPr>
          <w:color w:val="FF0000"/>
        </w:rPr>
        <w:t> </w:t>
      </w:r>
      <w:r>
        <w:t xml:space="preserve">: </w:t>
      </w:r>
      <w:bookmarkStart w:id="4" w:name="_Hlk190939067"/>
      <w:r w:rsidRPr="000E5993">
        <w:t>ce produit jouit d’une réputation de gaz non</w:t>
      </w:r>
      <w:r w:rsidRPr="000E5993">
        <w:rPr>
          <w:rFonts w:ascii="Cambria Math" w:hAnsi="Cambria Math" w:cs="Cambria Math"/>
        </w:rPr>
        <w:t>‑</w:t>
      </w:r>
      <w:r w:rsidRPr="000E5993">
        <w:t>addictif. Des consommateurs interrog</w:t>
      </w:r>
      <w:r w:rsidRPr="000E5993">
        <w:rPr>
          <w:rFonts w:ascii="Aptos" w:hAnsi="Aptos" w:cs="Aptos"/>
        </w:rPr>
        <w:t>é</w:t>
      </w:r>
      <w:r w:rsidRPr="000E5993">
        <w:t xml:space="preserve">s vantent en ce sens une drogue </w:t>
      </w:r>
      <w:r w:rsidRPr="000E5993">
        <w:rPr>
          <w:rFonts w:ascii="Aptos" w:hAnsi="Aptos" w:cs="Aptos"/>
        </w:rPr>
        <w:t>«</w:t>
      </w:r>
      <w:r w:rsidRPr="000E5993">
        <w:t xml:space="preserve"> l</w:t>
      </w:r>
      <w:r w:rsidRPr="000E5993">
        <w:rPr>
          <w:rFonts w:ascii="Aptos" w:hAnsi="Aptos" w:cs="Aptos"/>
        </w:rPr>
        <w:t>é</w:t>
      </w:r>
      <w:r w:rsidRPr="000E5993">
        <w:t xml:space="preserve">gale </w:t>
      </w:r>
      <w:r w:rsidRPr="000E5993">
        <w:rPr>
          <w:rFonts w:ascii="Aptos" w:hAnsi="Aptos" w:cs="Aptos"/>
        </w:rPr>
        <w:t>»</w:t>
      </w:r>
      <w:r w:rsidRPr="000E5993">
        <w:t xml:space="preserve">, </w:t>
      </w:r>
      <w:r w:rsidRPr="000E5993">
        <w:rPr>
          <w:rFonts w:ascii="Aptos" w:hAnsi="Aptos" w:cs="Aptos"/>
        </w:rPr>
        <w:t>«</w:t>
      </w:r>
      <w:r w:rsidRPr="000E5993">
        <w:t xml:space="preserve"> bon march</w:t>
      </w:r>
      <w:r w:rsidRPr="000E5993">
        <w:rPr>
          <w:rFonts w:ascii="Aptos" w:hAnsi="Aptos" w:cs="Aptos"/>
        </w:rPr>
        <w:t>é</w:t>
      </w:r>
      <w:r w:rsidRPr="000E5993">
        <w:t xml:space="preserve"> </w:t>
      </w:r>
      <w:r w:rsidRPr="000E5993">
        <w:rPr>
          <w:rFonts w:ascii="Aptos" w:hAnsi="Aptos" w:cs="Aptos"/>
        </w:rPr>
        <w:t>»</w:t>
      </w:r>
      <w:r w:rsidRPr="000E5993">
        <w:t xml:space="preserve"> et ayant une nocivit</w:t>
      </w:r>
      <w:r w:rsidRPr="000E5993">
        <w:rPr>
          <w:rFonts w:ascii="Aptos" w:hAnsi="Aptos" w:cs="Aptos"/>
        </w:rPr>
        <w:t>é</w:t>
      </w:r>
      <w:r w:rsidRPr="000E5993">
        <w:t xml:space="preserve"> </w:t>
      </w:r>
      <w:r w:rsidRPr="000E5993">
        <w:rPr>
          <w:rFonts w:ascii="Aptos" w:hAnsi="Aptos" w:cs="Aptos"/>
        </w:rPr>
        <w:t>«</w:t>
      </w:r>
      <w:r w:rsidRPr="000E5993">
        <w:t xml:space="preserve"> n</w:t>
      </w:r>
      <w:r w:rsidRPr="000E5993">
        <w:rPr>
          <w:rFonts w:ascii="Aptos" w:hAnsi="Aptos" w:cs="Aptos"/>
        </w:rPr>
        <w:t>é</w:t>
      </w:r>
      <w:r w:rsidRPr="000E5993">
        <w:t xml:space="preserve">gligeable </w:t>
      </w:r>
      <w:r w:rsidRPr="000E5993">
        <w:rPr>
          <w:rFonts w:ascii="Aptos" w:hAnsi="Aptos" w:cs="Aptos"/>
        </w:rPr>
        <w:t>»</w:t>
      </w:r>
      <w:r>
        <w:t>, ce qui est totalement erroné.</w:t>
      </w:r>
    </w:p>
    <w:bookmarkEnd w:id="4"/>
    <w:p w14:paraId="04971248" w14:textId="5F042796" w:rsidR="000D3848" w:rsidRDefault="000D3848" w:rsidP="00AA6098">
      <w:pPr>
        <w:jc w:val="both"/>
      </w:pPr>
      <w:r w:rsidRPr="006C642E">
        <w:t xml:space="preserve">Le protoxyde d’azote est une </w:t>
      </w:r>
      <w:r w:rsidRPr="000D3848">
        <w:rPr>
          <w:b/>
          <w:bCs/>
        </w:rPr>
        <w:t>substance addictive</w:t>
      </w:r>
      <w:r w:rsidRPr="006C642E">
        <w:t xml:space="preserve"> pouvant engendrer une </w:t>
      </w:r>
      <w:r w:rsidRPr="000D3848">
        <w:rPr>
          <w:b/>
          <w:bCs/>
        </w:rPr>
        <w:t>dépendance</w:t>
      </w:r>
      <w:r w:rsidRPr="006C642E">
        <w:t xml:space="preserve"> avec des symptômes </w:t>
      </w:r>
      <w:r>
        <w:t>graves</w:t>
      </w:r>
      <w:r w:rsidRPr="006C642E">
        <w:t>, que la consommation soit occasionnelle ou fréquente.</w:t>
      </w:r>
    </w:p>
    <w:p w14:paraId="7BA6D5E6" w14:textId="41B9D751" w:rsidR="000D3848" w:rsidRPr="000D3848" w:rsidRDefault="000D3848" w:rsidP="00AA6098">
      <w:pPr>
        <w:jc w:val="both"/>
      </w:pPr>
      <w:r w:rsidRPr="000D3848">
        <w:t>L'inhalation de protoxyde d'azote peut entraîner des effets immédiats et des complications à long terme</w:t>
      </w:r>
      <w:r w:rsidR="00C36863">
        <w:t> :</w:t>
      </w:r>
    </w:p>
    <w:p w14:paraId="4A68E558" w14:textId="3969DC90" w:rsidR="000D3848" w:rsidRPr="000D3848" w:rsidRDefault="000D3848" w:rsidP="00D5258F">
      <w:pPr>
        <w:pStyle w:val="Paragraphedeliste"/>
        <w:numPr>
          <w:ilvl w:val="0"/>
          <w:numId w:val="4"/>
        </w:numPr>
      </w:pPr>
      <w:r w:rsidRPr="00D5258F">
        <w:rPr>
          <w:u w:val="single"/>
        </w:rPr>
        <w:t xml:space="preserve">Risques </w:t>
      </w:r>
      <w:r w:rsidR="00D5258F" w:rsidRPr="00D5258F">
        <w:rPr>
          <w:u w:val="single"/>
        </w:rPr>
        <w:t>sanitaires immédiats</w:t>
      </w:r>
      <w:r w:rsidR="00D5258F">
        <w:t xml:space="preserve"> </w:t>
      </w:r>
      <w:r w:rsidRPr="000D3848">
        <w:t xml:space="preserve">en cas de prise </w:t>
      </w:r>
      <w:r w:rsidR="00D5258F">
        <w:t xml:space="preserve">unique/ </w:t>
      </w:r>
      <w:r w:rsidRPr="000D3848">
        <w:t>ponctuelle</w:t>
      </w:r>
      <w:r w:rsidR="00D5258F">
        <w:t> :</w:t>
      </w:r>
    </w:p>
    <w:p w14:paraId="4D368E72" w14:textId="77777777" w:rsidR="00A36B80" w:rsidRDefault="00A36B80" w:rsidP="00813AB1">
      <w:pPr>
        <w:numPr>
          <w:ilvl w:val="0"/>
          <w:numId w:val="1"/>
        </w:numPr>
        <w:jc w:val="both"/>
      </w:pPr>
      <w:r w:rsidRPr="00A36B80">
        <w:rPr>
          <w:b/>
          <w:bCs/>
        </w:rPr>
        <w:t xml:space="preserve">euphorie </w:t>
      </w:r>
      <w:r>
        <w:t xml:space="preserve">semblable à l’ivresse, </w:t>
      </w:r>
      <w:r w:rsidRPr="00A36B80">
        <w:rPr>
          <w:b/>
          <w:bCs/>
        </w:rPr>
        <w:t>distorsion visuelle et auditive, sensation de dissociation</w:t>
      </w:r>
      <w:r>
        <w:t xml:space="preserve">, désinhibition, état de flottement. </w:t>
      </w:r>
    </w:p>
    <w:p w14:paraId="52647095" w14:textId="19A28942" w:rsidR="00A36B80" w:rsidRDefault="00A36B80" w:rsidP="00813AB1">
      <w:pPr>
        <w:numPr>
          <w:ilvl w:val="0"/>
          <w:numId w:val="1"/>
        </w:numPr>
        <w:jc w:val="both"/>
      </w:pPr>
      <w:r>
        <w:t xml:space="preserve">en phase de décours : </w:t>
      </w:r>
      <w:r w:rsidRPr="00A36B80">
        <w:rPr>
          <w:b/>
          <w:bCs/>
        </w:rPr>
        <w:t>anxiété, état panique, dépression respiratoire et cardiovasculaire</w:t>
      </w:r>
      <w:r>
        <w:t>,</w:t>
      </w:r>
    </w:p>
    <w:p w14:paraId="4062DF3F" w14:textId="6C92BC3C" w:rsidR="00A36B80" w:rsidRPr="00A36B80" w:rsidRDefault="00A36B80" w:rsidP="00813AB1">
      <w:pPr>
        <w:numPr>
          <w:ilvl w:val="0"/>
          <w:numId w:val="1"/>
        </w:numPr>
        <w:jc w:val="both"/>
      </w:pPr>
      <w:r>
        <w:t>hyperthermie maligne, distension abdominale, pneumothorax et rupture tympanique par diffusion du gaz dans cette cavité ;</w:t>
      </w:r>
    </w:p>
    <w:p w14:paraId="3533467F" w14:textId="7254F5B4" w:rsidR="000D3848" w:rsidRPr="000D3848" w:rsidRDefault="00D5258F" w:rsidP="00813AB1">
      <w:pPr>
        <w:numPr>
          <w:ilvl w:val="0"/>
          <w:numId w:val="1"/>
        </w:numPr>
        <w:jc w:val="both"/>
      </w:pPr>
      <w:r>
        <w:rPr>
          <w:b/>
          <w:bCs/>
        </w:rPr>
        <w:t>v</w:t>
      </w:r>
      <w:r w:rsidR="000D3848" w:rsidRPr="000D3848">
        <w:rPr>
          <w:b/>
          <w:bCs/>
        </w:rPr>
        <w:t xml:space="preserve">ertiges, </w:t>
      </w:r>
      <w:r>
        <w:rPr>
          <w:b/>
          <w:bCs/>
        </w:rPr>
        <w:t xml:space="preserve">maux de tête, </w:t>
      </w:r>
      <w:r w:rsidR="000D3848" w:rsidRPr="000D3848">
        <w:rPr>
          <w:b/>
          <w:bCs/>
        </w:rPr>
        <w:t>étourdissements</w:t>
      </w:r>
      <w:r>
        <w:rPr>
          <w:b/>
          <w:bCs/>
        </w:rPr>
        <w:t>, acouphènes</w:t>
      </w:r>
      <w:r w:rsidR="000D3848" w:rsidRPr="000D3848">
        <w:rPr>
          <w:b/>
          <w:bCs/>
        </w:rPr>
        <w:t xml:space="preserve"> et désorientation</w:t>
      </w:r>
      <w:r w:rsidR="000D3848" w:rsidRPr="000D3848">
        <w:t> : augmentant le risque de chutes et d’accidents.</w:t>
      </w:r>
    </w:p>
    <w:p w14:paraId="45E2053E" w14:textId="45AB31CD" w:rsidR="00D5258F" w:rsidRPr="00D5258F" w:rsidRDefault="00D5258F" w:rsidP="00813AB1">
      <w:pPr>
        <w:numPr>
          <w:ilvl w:val="0"/>
          <w:numId w:val="1"/>
        </w:numPr>
        <w:jc w:val="both"/>
      </w:pPr>
      <w:r>
        <w:t>diarrhées, crampes abdominales</w:t>
      </w:r>
    </w:p>
    <w:p w14:paraId="580F8410" w14:textId="77777777" w:rsidR="00A36B80" w:rsidRPr="00A36B80" w:rsidRDefault="00A36B80" w:rsidP="000D3848">
      <w:pPr>
        <w:numPr>
          <w:ilvl w:val="0"/>
          <w:numId w:val="1"/>
        </w:numPr>
      </w:pPr>
      <w:r>
        <w:rPr>
          <w:b/>
          <w:bCs/>
        </w:rPr>
        <w:t>b</w:t>
      </w:r>
      <w:r w:rsidRPr="000D3848">
        <w:rPr>
          <w:b/>
          <w:bCs/>
        </w:rPr>
        <w:t>rûlures</w:t>
      </w:r>
      <w:r>
        <w:rPr>
          <w:b/>
          <w:bCs/>
        </w:rPr>
        <w:t xml:space="preserve"> et gelures des lèvres, corde vocale et pharynx </w:t>
      </w:r>
      <w:r w:rsidRPr="000D3848">
        <w:rPr>
          <w:b/>
          <w:bCs/>
        </w:rPr>
        <w:t>par le froid</w:t>
      </w:r>
      <w:r w:rsidRPr="000D3848">
        <w:t> : inhaler directement depuis une cartouche ou manipuler une bonbonne peut provoquer des brûlures au contact de la peau</w:t>
      </w:r>
      <w:r>
        <w:t xml:space="preserve"> et des muqueuses </w:t>
      </w:r>
      <w:r>
        <w:rPr>
          <w:b/>
          <w:bCs/>
        </w:rPr>
        <w:t xml:space="preserve"> </w:t>
      </w:r>
    </w:p>
    <w:p w14:paraId="0BD21359" w14:textId="20E2F596" w:rsidR="000D3848" w:rsidRDefault="00A36B80" w:rsidP="00A36B80">
      <w:pPr>
        <w:numPr>
          <w:ilvl w:val="0"/>
          <w:numId w:val="1"/>
        </w:numPr>
      </w:pPr>
      <w:r>
        <w:rPr>
          <w:b/>
          <w:bCs/>
        </w:rPr>
        <w:t xml:space="preserve">somnolence, </w:t>
      </w:r>
      <w:r w:rsidRPr="000D3848">
        <w:rPr>
          <w:b/>
          <w:bCs/>
        </w:rPr>
        <w:t>perte de connaissance</w:t>
      </w:r>
      <w:r w:rsidRPr="000D3848">
        <w:t> </w:t>
      </w:r>
      <w:r>
        <w:t>et</w:t>
      </w:r>
      <w:r>
        <w:rPr>
          <w:b/>
          <w:bCs/>
        </w:rPr>
        <w:t xml:space="preserve"> </w:t>
      </w:r>
      <w:r w:rsidR="000E5993">
        <w:rPr>
          <w:b/>
          <w:bCs/>
        </w:rPr>
        <w:t>mort par asphyxie</w:t>
      </w:r>
      <w:r>
        <w:rPr>
          <w:b/>
          <w:bCs/>
        </w:rPr>
        <w:t xml:space="preserve"> </w:t>
      </w:r>
      <w:r w:rsidR="000D3848" w:rsidRPr="000D3848">
        <w:t>: un manque d’oxygène peut causer des convulsions, un arrêt respiratoire voire une asphyxie</w:t>
      </w:r>
      <w:r w:rsidR="000E5993">
        <w:t xml:space="preserve"> mortelle</w:t>
      </w:r>
      <w:r w:rsidR="000D3848" w:rsidRPr="000D3848">
        <w:t>.</w:t>
      </w:r>
    </w:p>
    <w:p w14:paraId="03CB98A2" w14:textId="077C380F" w:rsidR="00D5258F" w:rsidRDefault="00D5258F" w:rsidP="000D3848">
      <w:pPr>
        <w:numPr>
          <w:ilvl w:val="0"/>
          <w:numId w:val="1"/>
        </w:numPr>
      </w:pPr>
      <w:r>
        <w:rPr>
          <w:b/>
          <w:bCs/>
        </w:rPr>
        <w:t>exposition à des drogues et substances autres </w:t>
      </w:r>
      <w:r w:rsidRPr="00D5258F">
        <w:t>:</w:t>
      </w:r>
      <w:r>
        <w:t xml:space="preserve"> les produits vendus sur internet ont une composition aléatoire et peuvent être frelatés.</w:t>
      </w:r>
    </w:p>
    <w:p w14:paraId="418844E3" w14:textId="77777777" w:rsidR="00D5258F" w:rsidRPr="000D3848" w:rsidRDefault="00D5258F" w:rsidP="00D5258F">
      <w:pPr>
        <w:ind w:left="720"/>
      </w:pPr>
    </w:p>
    <w:p w14:paraId="153CF947" w14:textId="33056341" w:rsidR="000D3848" w:rsidRPr="000D3848" w:rsidRDefault="000D3848" w:rsidP="00D5258F">
      <w:pPr>
        <w:pStyle w:val="Paragraphedeliste"/>
        <w:numPr>
          <w:ilvl w:val="0"/>
          <w:numId w:val="4"/>
        </w:numPr>
      </w:pPr>
      <w:r w:rsidRPr="00D5258F">
        <w:rPr>
          <w:u w:val="single"/>
        </w:rPr>
        <w:t>Complications à long terme</w:t>
      </w:r>
      <w:r w:rsidRPr="000D3848">
        <w:t xml:space="preserve"> en cas de consommation importante (prise massive ou régulière)</w:t>
      </w:r>
    </w:p>
    <w:p w14:paraId="5F33D841" w14:textId="011F961A" w:rsidR="000D3848" w:rsidRPr="000D3848" w:rsidRDefault="000D3848" w:rsidP="00AA6098">
      <w:pPr>
        <w:numPr>
          <w:ilvl w:val="0"/>
          <w:numId w:val="2"/>
        </w:numPr>
        <w:jc w:val="both"/>
      </w:pPr>
      <w:r w:rsidRPr="000D3848">
        <w:rPr>
          <w:b/>
          <w:bCs/>
        </w:rPr>
        <w:t>Troubles neurologiques graves</w:t>
      </w:r>
      <w:r w:rsidRPr="000D3848">
        <w:t> : paresthésies (fourmillements), perte d’équilibre, difficultés motrices (marche, préhension)</w:t>
      </w:r>
      <w:r w:rsidR="00D5258F">
        <w:t xml:space="preserve"> et</w:t>
      </w:r>
      <w:r w:rsidRPr="000D3848">
        <w:t xml:space="preserve"> </w:t>
      </w:r>
      <w:r w:rsidR="00D5258F">
        <w:t xml:space="preserve">confusion mentale, </w:t>
      </w:r>
      <w:r w:rsidRPr="000D3848">
        <w:t>pouvant mener à la paraplégie</w:t>
      </w:r>
      <w:r w:rsidR="000E5993">
        <w:t xml:space="preserve"> et la tétraplégie</w:t>
      </w:r>
      <w:r w:rsidRPr="000D3848">
        <w:t>.</w:t>
      </w:r>
    </w:p>
    <w:p w14:paraId="62FC300B" w14:textId="527148D6" w:rsidR="000D3848" w:rsidRPr="000D3848" w:rsidRDefault="000D3848" w:rsidP="000D3848">
      <w:pPr>
        <w:numPr>
          <w:ilvl w:val="0"/>
          <w:numId w:val="2"/>
        </w:numPr>
      </w:pPr>
      <w:r w:rsidRPr="000D3848">
        <w:rPr>
          <w:b/>
          <w:bCs/>
        </w:rPr>
        <w:t xml:space="preserve">Fuites urinaires </w:t>
      </w:r>
      <w:r w:rsidR="000E5993">
        <w:rPr>
          <w:b/>
          <w:bCs/>
        </w:rPr>
        <w:t xml:space="preserve">(incontinences) </w:t>
      </w:r>
      <w:r w:rsidRPr="000D3848">
        <w:rPr>
          <w:b/>
          <w:bCs/>
        </w:rPr>
        <w:t>ou fécales, troubles sexuels.</w:t>
      </w:r>
    </w:p>
    <w:p w14:paraId="7FCC0E8D" w14:textId="77777777" w:rsidR="000D3848" w:rsidRPr="000D3848" w:rsidRDefault="000D3848" w:rsidP="000D3848">
      <w:pPr>
        <w:numPr>
          <w:ilvl w:val="0"/>
          <w:numId w:val="2"/>
        </w:numPr>
      </w:pPr>
      <w:r w:rsidRPr="000D3848">
        <w:rPr>
          <w:b/>
          <w:bCs/>
        </w:rPr>
        <w:t>Complications psychiatriques</w:t>
      </w:r>
      <w:r w:rsidRPr="000D3848">
        <w:t> : anxiété, dépression.</w:t>
      </w:r>
    </w:p>
    <w:p w14:paraId="52574164" w14:textId="77777777" w:rsidR="000D3848" w:rsidRPr="000D3848" w:rsidRDefault="000D3848" w:rsidP="000D3848">
      <w:pPr>
        <w:numPr>
          <w:ilvl w:val="0"/>
          <w:numId w:val="2"/>
        </w:numPr>
      </w:pPr>
      <w:r w:rsidRPr="000D3848">
        <w:rPr>
          <w:b/>
          <w:bCs/>
        </w:rPr>
        <w:t>Addiction et perte de contrôle</w:t>
      </w:r>
      <w:r w:rsidRPr="000D3848">
        <w:t> : risque de consommation compulsive.</w:t>
      </w:r>
    </w:p>
    <w:p w14:paraId="78747111" w14:textId="586DB416" w:rsidR="000D3848" w:rsidRDefault="000D3848" w:rsidP="000D3848">
      <w:pPr>
        <w:numPr>
          <w:ilvl w:val="0"/>
          <w:numId w:val="2"/>
        </w:numPr>
      </w:pPr>
      <w:r w:rsidRPr="000D3848">
        <w:rPr>
          <w:b/>
          <w:bCs/>
        </w:rPr>
        <w:t>Problèmes hématologiques</w:t>
      </w:r>
      <w:r w:rsidRPr="000D3848">
        <w:t> : anémie, thromboses veineuses ou artérielles</w:t>
      </w:r>
      <w:r w:rsidR="009D380D">
        <w:t>.</w:t>
      </w:r>
    </w:p>
    <w:p w14:paraId="1154569A" w14:textId="163E627C" w:rsidR="009D380D" w:rsidRDefault="009D380D" w:rsidP="00AA6098">
      <w:pPr>
        <w:numPr>
          <w:ilvl w:val="0"/>
          <w:numId w:val="2"/>
        </w:numPr>
        <w:jc w:val="both"/>
      </w:pPr>
      <w:r>
        <w:rPr>
          <w:b/>
          <w:bCs/>
        </w:rPr>
        <w:t xml:space="preserve">Les symptômes et troubles neurocognitifs </w:t>
      </w:r>
      <w:r w:rsidR="00A36B80">
        <w:rPr>
          <w:b/>
          <w:bCs/>
        </w:rPr>
        <w:t xml:space="preserve">potentiellement irréversibles </w:t>
      </w:r>
      <w:r>
        <w:rPr>
          <w:b/>
          <w:bCs/>
        </w:rPr>
        <w:t xml:space="preserve">peuvent apparaitre jusqu’à 6 mois </w:t>
      </w:r>
      <w:r w:rsidR="00A36B80">
        <w:rPr>
          <w:b/>
          <w:bCs/>
        </w:rPr>
        <w:t>ap</w:t>
      </w:r>
      <w:r>
        <w:rPr>
          <w:b/>
          <w:bCs/>
        </w:rPr>
        <w:t>rès l’arrêt d</w:t>
      </w:r>
      <w:r w:rsidR="00A36B80">
        <w:rPr>
          <w:b/>
          <w:bCs/>
        </w:rPr>
        <w:t>e la consommation chronique</w:t>
      </w:r>
    </w:p>
    <w:p w14:paraId="26228DEA" w14:textId="77777777" w:rsidR="000D3848" w:rsidRDefault="000D3848" w:rsidP="000D3848">
      <w:r w:rsidRPr="000D3848">
        <w:t>Ces risques augmentent si le protoxyde d'azote est associé à des substances comme l’alcool ou d’autres drogues.</w:t>
      </w:r>
    </w:p>
    <w:p w14:paraId="10A52661" w14:textId="77777777" w:rsidR="00E84F73" w:rsidRDefault="00E84F73" w:rsidP="000D3848"/>
    <w:p w14:paraId="1D081651" w14:textId="558BF38D" w:rsidR="000D3848" w:rsidRPr="000D3848" w:rsidRDefault="000D3848" w:rsidP="000D3848">
      <w:pPr>
        <w:pBdr>
          <w:top w:val="single" w:sz="4" w:space="1" w:color="auto"/>
          <w:left w:val="single" w:sz="4" w:space="4" w:color="auto"/>
          <w:bottom w:val="single" w:sz="4" w:space="1" w:color="auto"/>
          <w:right w:val="single" w:sz="4" w:space="4" w:color="auto"/>
        </w:pBdr>
        <w:jc w:val="center"/>
        <w:rPr>
          <w:sz w:val="28"/>
          <w:szCs w:val="28"/>
        </w:rPr>
      </w:pPr>
      <w:bookmarkStart w:id="5" w:name="_Hlk191018179"/>
      <w:r w:rsidRPr="000D3848">
        <w:rPr>
          <w:sz w:val="28"/>
          <w:szCs w:val="28"/>
        </w:rPr>
        <w:t>L’usage du protoxyde d’azote entraîne aussi des risques pour les autres</w:t>
      </w:r>
    </w:p>
    <w:p w14:paraId="13681D5D" w14:textId="16DD4FAD" w:rsidR="00061930" w:rsidRDefault="000D3848" w:rsidP="000D3848">
      <w:r>
        <w:t>Le protoxyde d’azote impacte aussi la vie des autres</w:t>
      </w:r>
      <w:r w:rsidR="00061930">
        <w:t> :</w:t>
      </w:r>
    </w:p>
    <w:p w14:paraId="0616101B" w14:textId="77777777" w:rsidR="00061930" w:rsidRDefault="00061930" w:rsidP="00AA6098">
      <w:pPr>
        <w:pStyle w:val="Paragraphedeliste"/>
        <w:numPr>
          <w:ilvl w:val="1"/>
          <w:numId w:val="1"/>
        </w:numPr>
        <w:jc w:val="both"/>
      </w:pPr>
      <w:r w:rsidRPr="00D5258F">
        <w:rPr>
          <w:b/>
          <w:bCs/>
        </w:rPr>
        <w:t>accidents de la route</w:t>
      </w:r>
      <w:r>
        <w:t xml:space="preserve"> : l’inhalation des ballons remplis de H</w:t>
      </w:r>
      <w:r w:rsidRPr="000D3848">
        <w:rPr>
          <w:vertAlign w:val="subscript"/>
        </w:rPr>
        <w:t>2</w:t>
      </w:r>
      <w:r>
        <w:t>O en conduisant induit des risques graves d’accident de la route : perte de contrôle du véhicule pouvant mettre en danger la vie d’autrui ;</w:t>
      </w:r>
    </w:p>
    <w:p w14:paraId="2534EDFB" w14:textId="61DA5CDA" w:rsidR="00061930" w:rsidRDefault="00061930" w:rsidP="000D3848">
      <w:pPr>
        <w:pStyle w:val="Paragraphedeliste"/>
        <w:numPr>
          <w:ilvl w:val="1"/>
          <w:numId w:val="1"/>
        </w:numPr>
      </w:pPr>
      <w:r>
        <w:t>risque</w:t>
      </w:r>
      <w:r w:rsidR="00114C86">
        <w:t>s</w:t>
      </w:r>
      <w:r>
        <w:t xml:space="preserve"> d’explosion directe au contact d’une flamme, car le protoxyde d’azote est inflammable ;</w:t>
      </w:r>
    </w:p>
    <w:p w14:paraId="51316C59" w14:textId="7F9ADB29" w:rsidR="000D3848" w:rsidRDefault="009D380D" w:rsidP="000D3848">
      <w:r>
        <w:t>impacts sur</w:t>
      </w:r>
      <w:r w:rsidR="000D3848">
        <w:t xml:space="preserve"> la société :</w:t>
      </w:r>
    </w:p>
    <w:p w14:paraId="65606381" w14:textId="3F008885" w:rsidR="000D3848" w:rsidRDefault="000D3848" w:rsidP="00AA6098">
      <w:pPr>
        <w:pStyle w:val="Paragraphedeliste"/>
        <w:numPr>
          <w:ilvl w:val="1"/>
          <w:numId w:val="1"/>
        </w:numPr>
        <w:jc w:val="both"/>
      </w:pPr>
      <w:r>
        <w:t xml:space="preserve">les bonbonnes jetées dans les ordures ménagères provoquent des </w:t>
      </w:r>
      <w:r w:rsidRPr="00D5258F">
        <w:rPr>
          <w:b/>
          <w:bCs/>
        </w:rPr>
        <w:t>dégâts considérables dans les incinérateurs</w:t>
      </w:r>
      <w:r>
        <w:t xml:space="preserve"> suite à leur explosion dans les fours des usines de valorisation énergétique des déchets</w:t>
      </w:r>
    </w:p>
    <w:p w14:paraId="763380D7" w14:textId="5D0D4286" w:rsidR="000D3848" w:rsidRDefault="009D380D" w:rsidP="000D3848">
      <w:r>
        <w:t xml:space="preserve">impacts sur </w:t>
      </w:r>
      <w:r w:rsidR="00061930">
        <w:t>la nature :</w:t>
      </w:r>
    </w:p>
    <w:p w14:paraId="058617DC" w14:textId="3597E0B0" w:rsidR="000D3848" w:rsidRDefault="00061930" w:rsidP="00AA6098">
      <w:pPr>
        <w:pStyle w:val="Paragraphedeliste"/>
        <w:numPr>
          <w:ilvl w:val="1"/>
          <w:numId w:val="1"/>
        </w:numPr>
        <w:jc w:val="both"/>
      </w:pPr>
      <w:r>
        <w:t xml:space="preserve">les bonbonnes sont jetées sur la voie publique, en dehors du circuit de recyclage : </w:t>
      </w:r>
      <w:bookmarkEnd w:id="5"/>
      <w:r w:rsidRPr="00061930">
        <w:t>ça n’est pas eco-friendly de jeter par terre les cartouches et les ballons de protoxyde d’azote après leur usage. Ces matériaux (caoutchouc, latex des ballons, aluminium</w:t>
      </w:r>
      <w:r>
        <w:t>, plastique….</w:t>
      </w:r>
      <w:r w:rsidRPr="00061930">
        <w:t>) se dégradent très lentement dans la nature et peuvent être consommés par erreur par les animaux environnants</w:t>
      </w:r>
      <w:r w:rsidR="009D380D">
        <w:t>,</w:t>
      </w:r>
      <w:r w:rsidRPr="00061930">
        <w:t xml:space="preserve"> </w:t>
      </w:r>
      <w:r>
        <w:t xml:space="preserve">cela entraine la </w:t>
      </w:r>
      <w:r w:rsidRPr="00061930">
        <w:rPr>
          <w:b/>
          <w:bCs/>
        </w:rPr>
        <w:t>pollution des sols, de l’eau</w:t>
      </w:r>
      <w:r>
        <w:t>.</w:t>
      </w:r>
    </w:p>
    <w:p w14:paraId="413B5E83" w14:textId="77777777" w:rsidR="000D3848" w:rsidRPr="000D3848" w:rsidRDefault="000D3848" w:rsidP="000D3848">
      <w:bookmarkStart w:id="6" w:name="_Hlk190939106"/>
    </w:p>
    <w:p w14:paraId="16AB23DA" w14:textId="755AFF1B" w:rsidR="000D3848" w:rsidRPr="000D3848" w:rsidRDefault="000D3848" w:rsidP="000D3848">
      <w:pPr>
        <w:pBdr>
          <w:top w:val="single" w:sz="4" w:space="1" w:color="auto"/>
          <w:left w:val="single" w:sz="4" w:space="4" w:color="auto"/>
          <w:bottom w:val="single" w:sz="4" w:space="1" w:color="auto"/>
          <w:right w:val="single" w:sz="4" w:space="4" w:color="auto"/>
        </w:pBdr>
        <w:jc w:val="center"/>
        <w:rPr>
          <w:sz w:val="28"/>
          <w:szCs w:val="28"/>
        </w:rPr>
      </w:pPr>
      <w:r w:rsidRPr="000D3848">
        <w:rPr>
          <w:sz w:val="28"/>
          <w:szCs w:val="28"/>
        </w:rPr>
        <w:t>Protoxyde d’azote : conseils à appliquer pour se protéger</w:t>
      </w:r>
    </w:p>
    <w:p w14:paraId="3E8B0D81" w14:textId="6FBB812F" w:rsidR="000D3848" w:rsidRPr="000D3848" w:rsidRDefault="000D3848" w:rsidP="000D3848">
      <w:r w:rsidRPr="000D3848">
        <w:t>La meilleure prévention reste </w:t>
      </w:r>
      <w:r w:rsidRPr="000D3848">
        <w:rPr>
          <w:b/>
          <w:bCs/>
        </w:rPr>
        <w:t>d’éviter la consommation</w:t>
      </w:r>
      <w:r w:rsidRPr="000D3848">
        <w:t> de protoxyde d’azote et de sensibiliser son entourage aux dangers. En refusant d’en consommer, c’est le meilleur moyen de protéger sa santé</w:t>
      </w:r>
      <w:r w:rsidR="000E5993">
        <w:t>, celle des autres et l’environnement.</w:t>
      </w:r>
    </w:p>
    <w:p w14:paraId="7791E740" w14:textId="6B111698" w:rsidR="000D3848" w:rsidRPr="000D3848" w:rsidRDefault="000D3848" w:rsidP="000D3848">
      <w:r w:rsidRPr="000D3848">
        <w:t>Si j’en consomme, je </w:t>
      </w:r>
      <w:r w:rsidRPr="000D3848">
        <w:rPr>
          <w:b/>
          <w:bCs/>
        </w:rPr>
        <w:t xml:space="preserve">réduis les risques pour moi et les </w:t>
      </w:r>
      <w:commentRangeStart w:id="7"/>
      <w:commentRangeStart w:id="8"/>
      <w:r w:rsidRPr="000D3848">
        <w:rPr>
          <w:b/>
          <w:bCs/>
        </w:rPr>
        <w:t>autres</w:t>
      </w:r>
      <w:commentRangeEnd w:id="7"/>
      <w:r w:rsidR="00263352">
        <w:rPr>
          <w:rStyle w:val="Marquedecommentaire"/>
        </w:rPr>
        <w:commentReference w:id="7"/>
      </w:r>
      <w:commentRangeEnd w:id="8"/>
      <w:r w:rsidR="009C39B1">
        <w:rPr>
          <w:rStyle w:val="Marquedecommentaire"/>
        </w:rPr>
        <w:commentReference w:id="8"/>
      </w:r>
      <w:r w:rsidR="000E5993">
        <w:t> :</w:t>
      </w:r>
    </w:p>
    <w:p w14:paraId="336176D7" w14:textId="52AD2AD3" w:rsidR="000D3848" w:rsidRPr="000D3848" w:rsidRDefault="000D3848" w:rsidP="000E5993">
      <w:pPr>
        <w:pStyle w:val="Paragraphedeliste"/>
        <w:numPr>
          <w:ilvl w:val="1"/>
          <w:numId w:val="1"/>
        </w:numPr>
      </w:pPr>
      <w:r w:rsidRPr="000D3848">
        <w:t>Conseil 1</w:t>
      </w:r>
      <w:r w:rsidRPr="000E5993">
        <w:rPr>
          <w:rFonts w:ascii="Arial" w:hAnsi="Arial" w:cs="Arial"/>
        </w:rPr>
        <w:t> </w:t>
      </w:r>
      <w:r w:rsidRPr="000D3848">
        <w:t>: ne jamais consommer seul</w:t>
      </w:r>
      <w:r w:rsidR="000E5993">
        <w:rPr>
          <w:rFonts w:ascii="Aptos" w:hAnsi="Aptos" w:cs="Aptos"/>
        </w:rPr>
        <w:t>, en voiture</w:t>
      </w:r>
      <w:r w:rsidR="00813AB1">
        <w:rPr>
          <w:rFonts w:ascii="Aptos" w:hAnsi="Aptos" w:cs="Aptos"/>
        </w:rPr>
        <w:t>,</w:t>
      </w:r>
      <w:r w:rsidR="000E5993">
        <w:rPr>
          <w:rFonts w:ascii="Aptos" w:hAnsi="Aptos" w:cs="Aptos"/>
        </w:rPr>
        <w:t xml:space="preserve"> ni debout ;</w:t>
      </w:r>
    </w:p>
    <w:p w14:paraId="39FE2570" w14:textId="3A3A8459" w:rsidR="000E5993" w:rsidRDefault="000D3848" w:rsidP="000D3848">
      <w:pPr>
        <w:pStyle w:val="Paragraphedeliste"/>
        <w:numPr>
          <w:ilvl w:val="1"/>
          <w:numId w:val="1"/>
        </w:numPr>
      </w:pPr>
      <w:r w:rsidRPr="000D3848">
        <w:t>Conseil 2 : ne pas inhaler directement depuis la cartouche </w:t>
      </w:r>
      <w:r w:rsidR="000E5993">
        <w:t xml:space="preserve">pour éviter des </w:t>
      </w:r>
      <w:r w:rsidRPr="000D3848">
        <w:t>brûlures sévères au niveau des mains ou du visage</w:t>
      </w:r>
    </w:p>
    <w:p w14:paraId="4240866B" w14:textId="77777777" w:rsidR="000E5993" w:rsidRPr="000E5993" w:rsidRDefault="000D3848" w:rsidP="000D3848">
      <w:pPr>
        <w:pStyle w:val="Paragraphedeliste"/>
        <w:numPr>
          <w:ilvl w:val="1"/>
          <w:numId w:val="1"/>
        </w:numPr>
      </w:pPr>
      <w:r w:rsidRPr="000D3848">
        <w:t>Conseil 3</w:t>
      </w:r>
      <w:r w:rsidRPr="000E5993">
        <w:rPr>
          <w:rFonts w:ascii="Arial" w:hAnsi="Arial" w:cs="Arial"/>
        </w:rPr>
        <w:t> </w:t>
      </w:r>
      <w:r w:rsidRPr="000D3848">
        <w:t>: respirer de l</w:t>
      </w:r>
      <w:r w:rsidRPr="000E5993">
        <w:rPr>
          <w:rFonts w:ascii="Aptos" w:hAnsi="Aptos" w:cs="Aptos"/>
        </w:rPr>
        <w:t>’</w:t>
      </w:r>
      <w:r w:rsidRPr="000D3848">
        <w:t>air entre les inhalations</w:t>
      </w:r>
      <w:r w:rsidRPr="000E5993">
        <w:rPr>
          <w:rFonts w:ascii="Aptos" w:hAnsi="Aptos" w:cs="Aptos"/>
        </w:rPr>
        <w:t> </w:t>
      </w:r>
      <w:r w:rsidR="000E5993">
        <w:rPr>
          <w:rFonts w:ascii="Aptos" w:hAnsi="Aptos" w:cs="Aptos"/>
        </w:rPr>
        <w:t>pour réduire l’asphyxie</w:t>
      </w:r>
    </w:p>
    <w:p w14:paraId="6F07357E" w14:textId="29E949A4" w:rsidR="000E5993" w:rsidRDefault="000D3848" w:rsidP="000D3848">
      <w:pPr>
        <w:pStyle w:val="Paragraphedeliste"/>
        <w:numPr>
          <w:ilvl w:val="1"/>
          <w:numId w:val="1"/>
        </w:numPr>
      </w:pPr>
      <w:r w:rsidRPr="000D3848">
        <w:t>Conseil 4</w:t>
      </w:r>
      <w:r w:rsidRPr="000E5993">
        <w:rPr>
          <w:rFonts w:ascii="Arial" w:hAnsi="Arial" w:cs="Arial"/>
        </w:rPr>
        <w:t> </w:t>
      </w:r>
      <w:r w:rsidRPr="000D3848">
        <w:t>: limiter le nombre d</w:t>
      </w:r>
      <w:r w:rsidRPr="000E5993">
        <w:rPr>
          <w:rFonts w:ascii="Aptos" w:hAnsi="Aptos" w:cs="Aptos"/>
        </w:rPr>
        <w:t>’</w:t>
      </w:r>
      <w:r w:rsidRPr="000D3848">
        <w:t>inhalations</w:t>
      </w:r>
      <w:r w:rsidR="000E5993">
        <w:t xml:space="preserve"> : </w:t>
      </w:r>
      <w:r w:rsidRPr="000D3848">
        <w:t xml:space="preserve">multiplier les prises </w:t>
      </w:r>
      <w:r w:rsidR="000E5993">
        <w:t>induit</w:t>
      </w:r>
      <w:r w:rsidRPr="000D3848">
        <w:t xml:space="preserve"> </w:t>
      </w:r>
      <w:r w:rsidR="000E5993">
        <w:t>d</w:t>
      </w:r>
      <w:r w:rsidRPr="000D3848">
        <w:t>es effets graves sur la santé</w:t>
      </w:r>
      <w:r w:rsidR="000E5993">
        <w:t xml:space="preserve"> et </w:t>
      </w:r>
      <w:r w:rsidR="00813AB1">
        <w:t>des risques d’</w:t>
      </w:r>
      <w:r w:rsidR="000E5993">
        <w:t>addiction.</w:t>
      </w:r>
    </w:p>
    <w:p w14:paraId="773FE200" w14:textId="77777777" w:rsidR="00061930" w:rsidRDefault="000D3848" w:rsidP="00976607">
      <w:pPr>
        <w:pStyle w:val="Paragraphedeliste"/>
        <w:numPr>
          <w:ilvl w:val="1"/>
          <w:numId w:val="1"/>
        </w:numPr>
      </w:pPr>
      <w:r w:rsidRPr="000D3848">
        <w:t xml:space="preserve">Conseil </w:t>
      </w:r>
      <w:r w:rsidR="000E5993">
        <w:t>5</w:t>
      </w:r>
      <w:r w:rsidRPr="000D3848">
        <w:t xml:space="preserve"> : garder les cartouches éloignées de toute flamme</w:t>
      </w:r>
      <w:r w:rsidR="00061930">
        <w:t> : l</w:t>
      </w:r>
      <w:r w:rsidRPr="000D3848">
        <w:t xml:space="preserve">e protoxyde d’azote, </w:t>
      </w:r>
      <w:r w:rsidR="00061930">
        <w:t>est un</w:t>
      </w:r>
      <w:r w:rsidRPr="000D3848">
        <w:t xml:space="preserve"> gaz inflammable. </w:t>
      </w:r>
    </w:p>
    <w:p w14:paraId="1AD3FF85" w14:textId="405D660F" w:rsidR="00813AB1" w:rsidRDefault="00813AB1" w:rsidP="00976607">
      <w:pPr>
        <w:pStyle w:val="Paragraphedeliste"/>
        <w:numPr>
          <w:ilvl w:val="1"/>
          <w:numId w:val="1"/>
        </w:numPr>
      </w:pPr>
      <w:r>
        <w:t>Conseil 6 : ne pas jeter les cartouche</w:t>
      </w:r>
      <w:r w:rsidR="0000028B">
        <w:t>s</w:t>
      </w:r>
      <w:r>
        <w:t xml:space="preserve"> sur la voie publique ou dans la nature : a</w:t>
      </w:r>
      <w:r w:rsidRPr="00813AB1">
        <w:t>pportez votre cartouche de gaz en déchèterie</w:t>
      </w:r>
      <w:r>
        <w:t>, qui est tenue de les reprendre.</w:t>
      </w:r>
    </w:p>
    <w:p w14:paraId="070C2563" w14:textId="77777777" w:rsidR="00813AB1" w:rsidRDefault="00813AB1" w:rsidP="00813AB1">
      <w:pPr>
        <w:pStyle w:val="Paragraphedeliste"/>
        <w:ind w:left="1440"/>
      </w:pPr>
    </w:p>
    <w:p w14:paraId="262908E5" w14:textId="77777777" w:rsidR="00813AB1" w:rsidRDefault="000D3848" w:rsidP="009D380D">
      <w:pPr>
        <w:pBdr>
          <w:top w:val="single" w:sz="4" w:space="1" w:color="auto"/>
          <w:left w:val="single" w:sz="4" w:space="4" w:color="auto"/>
          <w:bottom w:val="single" w:sz="4" w:space="1" w:color="auto"/>
          <w:right w:val="single" w:sz="4" w:space="4" w:color="auto"/>
        </w:pBdr>
        <w:jc w:val="both"/>
        <w:rPr>
          <w:color w:val="FF0000"/>
        </w:rPr>
      </w:pPr>
      <w:r w:rsidRPr="009D380D">
        <w:rPr>
          <w:color w:val="FF0000"/>
        </w:rPr>
        <w:t>En cas de problème, appelez immédiatement les secours : </w:t>
      </w:r>
    </w:p>
    <w:p w14:paraId="7EE398CD" w14:textId="519F6FD9" w:rsidR="00813AB1" w:rsidRDefault="00813AB1" w:rsidP="009D380D">
      <w:pPr>
        <w:pBdr>
          <w:top w:val="single" w:sz="4" w:space="1" w:color="auto"/>
          <w:left w:val="single" w:sz="4" w:space="4" w:color="auto"/>
          <w:bottom w:val="single" w:sz="4" w:space="1" w:color="auto"/>
          <w:right w:val="single" w:sz="4" w:space="4" w:color="auto"/>
        </w:pBdr>
        <w:jc w:val="both"/>
        <w:rPr>
          <w:b/>
          <w:bCs/>
          <w:color w:val="FF0000"/>
        </w:rPr>
      </w:pPr>
      <w:r>
        <w:rPr>
          <w:color w:val="FF0000"/>
        </w:rPr>
        <w:t xml:space="preserve">- le </w:t>
      </w:r>
      <w:r w:rsidR="000D3848" w:rsidRPr="009D380D">
        <w:rPr>
          <w:b/>
          <w:bCs/>
          <w:color w:val="FF0000"/>
        </w:rPr>
        <w:t xml:space="preserve">SAMU (15 ou 114 </w:t>
      </w:r>
      <w:r w:rsidR="000D3848" w:rsidRPr="00813AB1">
        <w:rPr>
          <w:color w:val="FF0000"/>
        </w:rPr>
        <w:t>pour les personnes sourdes et malentendantes)</w:t>
      </w:r>
      <w:r w:rsidR="000D3848" w:rsidRPr="009D380D">
        <w:rPr>
          <w:b/>
          <w:bCs/>
          <w:color w:val="FF0000"/>
        </w:rPr>
        <w:t xml:space="preserve"> </w:t>
      </w:r>
    </w:p>
    <w:p w14:paraId="1877D2CF" w14:textId="41A636B8" w:rsidR="000D3848" w:rsidRPr="00813AB1" w:rsidRDefault="00813AB1" w:rsidP="009D380D">
      <w:pPr>
        <w:pBdr>
          <w:top w:val="single" w:sz="4" w:space="1" w:color="auto"/>
          <w:left w:val="single" w:sz="4" w:space="4" w:color="auto"/>
          <w:bottom w:val="single" w:sz="4" w:space="1" w:color="auto"/>
          <w:right w:val="single" w:sz="4" w:space="4" w:color="auto"/>
        </w:pBdr>
        <w:jc w:val="both"/>
        <w:rPr>
          <w:color w:val="FF0000"/>
        </w:rPr>
      </w:pPr>
      <w:r>
        <w:rPr>
          <w:b/>
          <w:bCs/>
          <w:color w:val="FF0000"/>
        </w:rPr>
        <w:t xml:space="preserve">- le </w:t>
      </w:r>
      <w:r w:rsidR="000D3848" w:rsidRPr="009D380D">
        <w:rPr>
          <w:b/>
          <w:bCs/>
          <w:color w:val="FF0000"/>
        </w:rPr>
        <w:t xml:space="preserve">Centre antipoison </w:t>
      </w:r>
      <w:r w:rsidR="00D749C1">
        <w:rPr>
          <w:b/>
          <w:bCs/>
          <w:color w:val="FF0000"/>
        </w:rPr>
        <w:t>et de toxicovigilance d’</w:t>
      </w:r>
      <w:r w:rsidR="00061930" w:rsidRPr="009D380D">
        <w:rPr>
          <w:b/>
          <w:bCs/>
          <w:color w:val="FF0000"/>
        </w:rPr>
        <w:t xml:space="preserve">Occitanie </w:t>
      </w:r>
      <w:r w:rsidRPr="009D380D">
        <w:rPr>
          <w:b/>
          <w:bCs/>
          <w:color w:val="FF0000"/>
        </w:rPr>
        <w:t xml:space="preserve">05 61 77 74 47 </w:t>
      </w:r>
      <w:r w:rsidR="000D3848" w:rsidRPr="00813AB1">
        <w:rPr>
          <w:color w:val="FF0000"/>
        </w:rPr>
        <w:t>(</w:t>
      </w:r>
      <w:r w:rsidR="00061930" w:rsidRPr="00813AB1">
        <w:rPr>
          <w:color w:val="FF0000"/>
        </w:rPr>
        <w:t>24h/24 et 7j/7, pour tous cas d’intoxication</w:t>
      </w:r>
      <w:r w:rsidR="000D3848" w:rsidRPr="00813AB1">
        <w:rPr>
          <w:color w:val="FF0000"/>
        </w:rPr>
        <w:t>). </w:t>
      </w:r>
    </w:p>
    <w:bookmarkEnd w:id="6"/>
    <w:p w14:paraId="2D0B69A7" w14:textId="77777777" w:rsidR="009D380D" w:rsidRDefault="009D380D" w:rsidP="00061930"/>
    <w:p w14:paraId="42BF9E1C" w14:textId="77777777" w:rsidR="00C36863" w:rsidRDefault="00C36863" w:rsidP="00061930"/>
    <w:p w14:paraId="3C86D316" w14:textId="77777777" w:rsidR="00C36863" w:rsidRDefault="00C36863" w:rsidP="00061930"/>
    <w:p w14:paraId="522AD90D" w14:textId="77777777" w:rsidR="00C36863" w:rsidRDefault="00C36863" w:rsidP="00061930"/>
    <w:p w14:paraId="2E92A3C3" w14:textId="77777777" w:rsidR="00C36863" w:rsidRDefault="00C36863" w:rsidP="00061930"/>
    <w:p w14:paraId="26780233" w14:textId="77777777" w:rsidR="00C36863" w:rsidRPr="000D3848" w:rsidRDefault="00C36863" w:rsidP="00061930"/>
    <w:p w14:paraId="47DF1BDA" w14:textId="71AC48DA" w:rsidR="000D3848" w:rsidRPr="000D3848" w:rsidRDefault="000D3848" w:rsidP="00061930">
      <w:pPr>
        <w:pBdr>
          <w:top w:val="single" w:sz="4" w:space="1" w:color="auto"/>
          <w:left w:val="single" w:sz="4" w:space="4" w:color="auto"/>
          <w:bottom w:val="single" w:sz="4" w:space="1" w:color="auto"/>
          <w:right w:val="single" w:sz="4" w:space="4" w:color="auto"/>
        </w:pBdr>
        <w:jc w:val="center"/>
        <w:rPr>
          <w:sz w:val="32"/>
          <w:szCs w:val="32"/>
        </w:rPr>
      </w:pPr>
      <w:r w:rsidRPr="000D3848">
        <w:rPr>
          <w:sz w:val="32"/>
          <w:szCs w:val="32"/>
        </w:rPr>
        <w:t xml:space="preserve">Protoxyde d’azote : bons réflexes pour lutter contre le </w:t>
      </w:r>
      <w:r w:rsidR="00061930">
        <w:rPr>
          <w:sz w:val="32"/>
          <w:szCs w:val="32"/>
        </w:rPr>
        <w:t>fléau</w:t>
      </w:r>
    </w:p>
    <w:p w14:paraId="05655AF9" w14:textId="44E0CB1B" w:rsidR="000D3848" w:rsidRDefault="00061930" w:rsidP="00AA6098">
      <w:pPr>
        <w:pStyle w:val="Paragraphedeliste"/>
        <w:numPr>
          <w:ilvl w:val="1"/>
          <w:numId w:val="7"/>
        </w:numPr>
        <w:jc w:val="both"/>
      </w:pPr>
      <w:r w:rsidRPr="009D380D">
        <w:rPr>
          <w:b/>
          <w:bCs/>
        </w:rPr>
        <w:t>Informer, prévenir</w:t>
      </w:r>
      <w:r w:rsidR="009D380D" w:rsidRPr="009D380D">
        <w:rPr>
          <w:b/>
          <w:bCs/>
        </w:rPr>
        <w:t>, lutter contre la banalisation</w:t>
      </w:r>
      <w:r>
        <w:t> : p</w:t>
      </w:r>
      <w:r w:rsidR="000D3848" w:rsidRPr="000D3848">
        <w:t xml:space="preserve">arler des risques </w:t>
      </w:r>
      <w:r>
        <w:t xml:space="preserve">sanitaires et environnementaux </w:t>
      </w:r>
      <w:r w:rsidR="000D3848" w:rsidRPr="000D3848">
        <w:t>liés au protoxyde autour de soi</w:t>
      </w:r>
      <w:r>
        <w:t> </w:t>
      </w:r>
      <w:r w:rsidR="009C39B1">
        <w:t xml:space="preserve">far souvent, les jeunes ne mentionnent pas cet usage </w:t>
      </w:r>
      <w:r>
        <w:t>: i</w:t>
      </w:r>
      <w:r w:rsidR="000D3848" w:rsidRPr="000D3848">
        <w:t xml:space="preserve">nformez </w:t>
      </w:r>
      <w:r w:rsidR="009C39B1">
        <w:t>les</w:t>
      </w:r>
      <w:r w:rsidR="000D3848" w:rsidRPr="000D3848">
        <w:t xml:space="preserve"> proches</w:t>
      </w:r>
      <w:r>
        <w:t>, e</w:t>
      </w:r>
      <w:r w:rsidR="000D3848" w:rsidRPr="000D3848">
        <w:t xml:space="preserve">ncouragez les discussions avec </w:t>
      </w:r>
      <w:r w:rsidR="009C39B1">
        <w:t xml:space="preserve">sa famille et </w:t>
      </w:r>
      <w:r w:rsidR="000D3848" w:rsidRPr="000D3848">
        <w:t xml:space="preserve">ses amis (collèges, lycées, etc.), les personnes autour </w:t>
      </w:r>
      <w:r w:rsidR="009C39B1">
        <w:t>du jeune</w:t>
      </w:r>
      <w:r w:rsidR="000D3848" w:rsidRPr="000D3848">
        <w:t xml:space="preserve"> pour les sensibiliser et réduire la banalisation de ce gaz</w:t>
      </w:r>
      <w:r w:rsidR="009D380D">
        <w:t>.</w:t>
      </w:r>
    </w:p>
    <w:p w14:paraId="7ACA22BB" w14:textId="62513731" w:rsidR="00433275" w:rsidRDefault="00433275" w:rsidP="00433275">
      <w:pPr>
        <w:jc w:val="both"/>
      </w:pPr>
      <w:r>
        <w:t xml:space="preserve">Le document de la MILDECA permet de connaître le détail des effets sanitaires lié à cet usage détourné : </w:t>
      </w:r>
      <w:hyperlink r:id="rId13" w:history="1">
        <w:r w:rsidRPr="00433275">
          <w:rPr>
            <w:rStyle w:val="Lienhypertexte"/>
          </w:rPr>
          <w:t>Dossier_de_presse_Protoxyde_Azote.pdf</w:t>
        </w:r>
      </w:hyperlink>
    </w:p>
    <w:p w14:paraId="2EA82AB0" w14:textId="77777777" w:rsidR="009D380D" w:rsidRPr="000D3848" w:rsidRDefault="009D380D" w:rsidP="009D380D">
      <w:pPr>
        <w:pStyle w:val="Paragraphedeliste"/>
        <w:ind w:left="1440"/>
      </w:pPr>
    </w:p>
    <w:p w14:paraId="71964BBA" w14:textId="1FB24316" w:rsidR="000D3848" w:rsidRPr="009D380D" w:rsidRDefault="009D380D" w:rsidP="00061930">
      <w:pPr>
        <w:pStyle w:val="Paragraphedeliste"/>
        <w:numPr>
          <w:ilvl w:val="1"/>
          <w:numId w:val="7"/>
        </w:numPr>
        <w:rPr>
          <w:b/>
          <w:bCs/>
        </w:rPr>
      </w:pPr>
      <w:r w:rsidRPr="009D380D">
        <w:rPr>
          <w:b/>
          <w:bCs/>
        </w:rPr>
        <w:t>En</w:t>
      </w:r>
      <w:r w:rsidR="000D3848" w:rsidRPr="009D380D">
        <w:rPr>
          <w:b/>
          <w:bCs/>
        </w:rPr>
        <w:t xml:space="preserve"> cas de problème lié au protoxyde d’azote : que faire ? </w:t>
      </w:r>
    </w:p>
    <w:p w14:paraId="445CE9D1" w14:textId="1F41A348" w:rsidR="009D380D" w:rsidRDefault="009C39B1" w:rsidP="00AA6098">
      <w:pPr>
        <w:jc w:val="both"/>
      </w:pPr>
      <w:bookmarkStart w:id="9" w:name="_Hlk190939135"/>
      <w:r>
        <w:t>Vers qui orienter un</w:t>
      </w:r>
      <w:r w:rsidR="000D3848" w:rsidRPr="000D3848">
        <w:t xml:space="preserve"> consommateur ou </w:t>
      </w:r>
      <w:r>
        <w:t>l’</w:t>
      </w:r>
      <w:r w:rsidR="000D3848" w:rsidRPr="000D3848">
        <w:t xml:space="preserve">entourage </w:t>
      </w:r>
      <w:r>
        <w:t>d’un jeune qui</w:t>
      </w:r>
      <w:r w:rsidR="000D3848" w:rsidRPr="000D3848">
        <w:t xml:space="preserve"> consomme régulièrement du protoxyde d’azote ? </w:t>
      </w:r>
    </w:p>
    <w:p w14:paraId="4492DE4E" w14:textId="0750D0D7" w:rsidR="000D3848" w:rsidRDefault="009C39B1" w:rsidP="000617A7">
      <w:pPr>
        <w:numPr>
          <w:ilvl w:val="0"/>
          <w:numId w:val="3"/>
        </w:numPr>
        <w:jc w:val="both"/>
      </w:pPr>
      <w:r>
        <w:rPr>
          <w:b/>
          <w:bCs/>
        </w:rPr>
        <w:t>le</w:t>
      </w:r>
      <w:r w:rsidR="000D3848" w:rsidRPr="009D380D">
        <w:rPr>
          <w:b/>
          <w:bCs/>
        </w:rPr>
        <w:t xml:space="preserve"> médecin traitant</w:t>
      </w:r>
      <w:r w:rsidR="00061930">
        <w:t xml:space="preserve"> : </w:t>
      </w:r>
      <w:r w:rsidR="000D3848" w:rsidRPr="000D3848">
        <w:t xml:space="preserve">suite à l’apparition de symptômes neurologiques, de maux de tête réguliers, d'anxiété, il faut demander l’avis </w:t>
      </w:r>
      <w:r>
        <w:t>du</w:t>
      </w:r>
      <w:r w:rsidR="000D3848" w:rsidRPr="000D3848">
        <w:t xml:space="preserve"> médecin traitant. Si nécessaire, il pourra réaliser un bilan neurologique en urgence, mettre en place un traitement adapté voire orienter le patient vers des spécialistes en addictologie ou en psychiatrie. </w:t>
      </w:r>
      <w:bookmarkEnd w:id="9"/>
    </w:p>
    <w:p w14:paraId="203D917A" w14:textId="51FCDF6F" w:rsidR="000617A7" w:rsidRDefault="009C39B1" w:rsidP="000617A7">
      <w:pPr>
        <w:pStyle w:val="Paragraphedeliste"/>
        <w:numPr>
          <w:ilvl w:val="0"/>
          <w:numId w:val="10"/>
        </w:numPr>
        <w:spacing w:line="256" w:lineRule="auto"/>
      </w:pPr>
      <w:r>
        <w:rPr>
          <w:b/>
          <w:bCs/>
        </w:rPr>
        <w:t>les</w:t>
      </w:r>
      <w:r w:rsidR="000617A7">
        <w:rPr>
          <w:b/>
          <w:bCs/>
        </w:rPr>
        <w:t xml:space="preserve"> structures spécialisées</w:t>
      </w:r>
      <w:r w:rsidR="000617A7">
        <w:t xml:space="preserve"> : </w:t>
      </w:r>
    </w:p>
    <w:p w14:paraId="7502AF50" w14:textId="77777777" w:rsidR="000617A7" w:rsidRDefault="00000000" w:rsidP="000617A7">
      <w:pPr>
        <w:numPr>
          <w:ilvl w:val="0"/>
          <w:numId w:val="11"/>
        </w:numPr>
        <w:spacing w:line="256" w:lineRule="auto"/>
      </w:pPr>
      <w:hyperlink r:id="rId14" w:tgtFrame="_blank" w:history="1">
        <w:r w:rsidR="000617A7">
          <w:rPr>
            <w:rStyle w:val="Lienhypertexte"/>
          </w:rPr>
          <w:t>Drogues Info Service</w:t>
        </w:r>
      </w:hyperlink>
      <w:r w:rsidR="000617A7">
        <w:t> : Une aide à distance est proposée au numéro </w:t>
      </w:r>
      <w:r w:rsidR="000617A7">
        <w:rPr>
          <w:b/>
          <w:bCs/>
        </w:rPr>
        <w:t>0 800 23 13 13</w:t>
      </w:r>
      <w:r w:rsidR="000617A7">
        <w:t> (appel gratuit). </w:t>
      </w:r>
    </w:p>
    <w:p w14:paraId="6C5E2083" w14:textId="77777777" w:rsidR="0045580A" w:rsidRDefault="0045580A" w:rsidP="0045580A">
      <w:pPr>
        <w:numPr>
          <w:ilvl w:val="0"/>
          <w:numId w:val="11"/>
        </w:numPr>
        <w:spacing w:line="256" w:lineRule="auto"/>
      </w:pPr>
      <w:r>
        <w:t xml:space="preserve">CSAPA : </w:t>
      </w:r>
      <w:r>
        <w:rPr>
          <w:rFonts w:cs="Arial"/>
          <w:shd w:val="clear" w:color="auto" w:fill="FFFFFF"/>
        </w:rPr>
        <w:t>Centres de Soin, d'Accompagnement et de Prévention en Addictologie</w:t>
      </w:r>
      <w:r>
        <w:t xml:space="preserve"> </w:t>
      </w:r>
      <w:r>
        <w:rPr>
          <w:highlight w:val="yellow"/>
        </w:rPr>
        <w:t>lien vers tableau en PJ</w:t>
      </w:r>
    </w:p>
    <w:p w14:paraId="030C8089" w14:textId="559F4572" w:rsidR="000617A7" w:rsidRDefault="00000000" w:rsidP="000617A7">
      <w:pPr>
        <w:numPr>
          <w:ilvl w:val="0"/>
          <w:numId w:val="11"/>
        </w:numPr>
        <w:spacing w:line="256" w:lineRule="auto"/>
      </w:pPr>
      <w:hyperlink r:id="rId15" w:tgtFrame="_blank" w:history="1">
        <w:r w:rsidR="000617A7">
          <w:rPr>
            <w:rStyle w:val="Lienhypertexte"/>
          </w:rPr>
          <w:t>Consultations Jeunes Consommateurs (CJC)</w:t>
        </w:r>
      </w:hyperlink>
      <w:r w:rsidR="000617A7">
        <w:t xml:space="preserve"> : Ces services </w:t>
      </w:r>
      <w:r w:rsidR="00802A53">
        <w:t xml:space="preserve">dans les CSAPA </w:t>
      </w:r>
      <w:r w:rsidR="000617A7">
        <w:t>offrent écoute, conseils et orientation par des professionnels des addictions. Accès gratuit et confidentiel. </w:t>
      </w:r>
    </w:p>
    <w:p w14:paraId="11ABAD9D" w14:textId="77777777" w:rsidR="000617A7" w:rsidRDefault="000617A7" w:rsidP="000617A7">
      <w:pPr>
        <w:numPr>
          <w:ilvl w:val="0"/>
          <w:numId w:val="11"/>
        </w:numPr>
        <w:spacing w:line="256" w:lineRule="auto"/>
      </w:pPr>
      <w:r>
        <w:t xml:space="preserve">Les </w:t>
      </w:r>
      <w:r>
        <w:rPr>
          <w:b/>
          <w:bCs/>
        </w:rPr>
        <w:t>Centres d'Évaluation et d'Information sur la Pharmacodépendance-Addictovigilance (CEIP-A)</w:t>
      </w:r>
      <w:r>
        <w:t xml:space="preserve"> d’Occitanie :</w:t>
      </w:r>
    </w:p>
    <w:p w14:paraId="0230091A" w14:textId="77777777" w:rsidR="000617A7" w:rsidRDefault="000617A7" w:rsidP="000617A7">
      <w:pPr>
        <w:numPr>
          <w:ilvl w:val="1"/>
          <w:numId w:val="11"/>
        </w:numPr>
        <w:spacing w:line="256" w:lineRule="auto"/>
      </w:pPr>
      <w:r>
        <w:t xml:space="preserve">Addictovigilance Montpellier : </w:t>
      </w:r>
      <w:hyperlink r:id="rId16" w:history="1">
        <w:r>
          <w:rPr>
            <w:rStyle w:val="Lienhypertexte"/>
          </w:rPr>
          <w:t>addictovigilance@chu-montpellier.fr</w:t>
        </w:r>
      </w:hyperlink>
      <w:r>
        <w:t xml:space="preserve"> / </w:t>
      </w:r>
      <w:hyperlink r:id="rId17" w:tooltip="04 67 33 67 49 (Lien externe)" w:history="1">
        <w:r>
          <w:rPr>
            <w:rStyle w:val="Lienhypertexte"/>
          </w:rPr>
          <w:t>04 67 33 67 49</w:t>
        </w:r>
      </w:hyperlink>
    </w:p>
    <w:p w14:paraId="07D9E33F" w14:textId="2CF576D8" w:rsidR="000617A7" w:rsidRDefault="000617A7" w:rsidP="000617A7">
      <w:pPr>
        <w:numPr>
          <w:ilvl w:val="1"/>
          <w:numId w:val="11"/>
        </w:numPr>
        <w:spacing w:line="256" w:lineRule="auto"/>
      </w:pPr>
      <w:r>
        <w:t>Addict</w:t>
      </w:r>
      <w:r w:rsidR="00D40D34">
        <w:t>ovi</w:t>
      </w:r>
      <w:r>
        <w:t xml:space="preserve">gilance Toulouse :  </w:t>
      </w:r>
      <w:hyperlink r:id="rId18" w:history="1">
        <w:r>
          <w:rPr>
            <w:rStyle w:val="Lienhypertexte"/>
          </w:rPr>
          <w:t>ceip.addictovigilance@chu-toulouse.fr</w:t>
        </w:r>
      </w:hyperlink>
      <w:r>
        <w:t xml:space="preserve"> / </w:t>
      </w:r>
      <w:hyperlink r:id="rId19" w:history="1">
        <w:r>
          <w:rPr>
            <w:rStyle w:val="Lienhypertexte"/>
          </w:rPr>
          <w:t>05 61 14 56 06</w:t>
        </w:r>
      </w:hyperlink>
    </w:p>
    <w:p w14:paraId="1D567C67" w14:textId="77777777" w:rsidR="000617A7" w:rsidRDefault="000617A7" w:rsidP="000617A7">
      <w:pPr>
        <w:pStyle w:val="Paragraphedeliste"/>
        <w:ind w:left="1428"/>
      </w:pPr>
    </w:p>
    <w:p w14:paraId="19EF4BE5" w14:textId="77777777" w:rsidR="000617A7" w:rsidRDefault="000617A7" w:rsidP="000617A7">
      <w:pPr>
        <w:pStyle w:val="Paragraphedeliste"/>
        <w:numPr>
          <w:ilvl w:val="0"/>
          <w:numId w:val="11"/>
        </w:numPr>
        <w:spacing w:line="256" w:lineRule="auto"/>
      </w:pPr>
      <w:r>
        <w:t xml:space="preserve">Plateforme Professionnelle Addiction Occitanie (2PAO) : </w:t>
      </w:r>
      <w:hyperlink r:id="rId20" w:history="1">
        <w:r>
          <w:rPr>
            <w:rStyle w:val="Lienhypertexte"/>
          </w:rPr>
          <w:t>https://2pao.fr/</w:t>
        </w:r>
      </w:hyperlink>
      <w:r>
        <w:t xml:space="preserve"> </w:t>
      </w:r>
    </w:p>
    <w:p w14:paraId="6FB3670C" w14:textId="77777777" w:rsidR="00581E1B" w:rsidRDefault="00581E1B" w:rsidP="00581E1B">
      <w:pPr>
        <w:jc w:val="both"/>
      </w:pPr>
    </w:p>
    <w:p w14:paraId="755BE584" w14:textId="5BD75A63" w:rsidR="00581E1B" w:rsidRDefault="00581E1B" w:rsidP="00581E1B">
      <w:pPr>
        <w:jc w:val="both"/>
      </w:pPr>
      <w:r>
        <w:t xml:space="preserve">Pour en savoir plus : </w:t>
      </w:r>
    </w:p>
    <w:p w14:paraId="6180F21C" w14:textId="4D7B6C26" w:rsidR="00581E1B" w:rsidRDefault="00D40D34" w:rsidP="00581E1B">
      <w:pPr>
        <w:pStyle w:val="Paragraphedeliste"/>
        <w:numPr>
          <w:ilvl w:val="0"/>
          <w:numId w:val="13"/>
        </w:numPr>
        <w:jc w:val="both"/>
      </w:pPr>
      <w:r>
        <w:t>S</w:t>
      </w:r>
      <w:r w:rsidR="00581E1B">
        <w:t xml:space="preserve">ite du réseau français d’addictovigilance : </w:t>
      </w:r>
      <w:hyperlink r:id="rId21" w:history="1">
        <w:r w:rsidR="00581E1B" w:rsidRPr="00015695">
          <w:rPr>
            <w:rStyle w:val="Lienhypertexte"/>
          </w:rPr>
          <w:t>https://addictovigilance.fr/</w:t>
        </w:r>
      </w:hyperlink>
      <w:r w:rsidR="00581E1B">
        <w:t xml:space="preserve">  </w:t>
      </w:r>
    </w:p>
    <w:p w14:paraId="2AD51170" w14:textId="3D69711C" w:rsidR="00581E1B" w:rsidRDefault="00D40D34" w:rsidP="00581E1B">
      <w:pPr>
        <w:pStyle w:val="Paragraphedeliste"/>
        <w:numPr>
          <w:ilvl w:val="0"/>
          <w:numId w:val="13"/>
        </w:numPr>
        <w:jc w:val="both"/>
      </w:pPr>
      <w:r>
        <w:t>D</w:t>
      </w:r>
      <w:r w:rsidR="00581E1B">
        <w:t xml:space="preserve">onnées françaises d’addictovigilance en libre accès : </w:t>
      </w:r>
      <w:hyperlink r:id="rId22" w:history="1">
        <w:r w:rsidR="00F05562" w:rsidRPr="00015695">
          <w:rPr>
            <w:rStyle w:val="Lienhypertexte"/>
          </w:rPr>
          <w:t>https://doi.org/10.1016/j.therap.2024.10.057</w:t>
        </w:r>
      </w:hyperlink>
      <w:r w:rsidR="00581E1B">
        <w:t xml:space="preserve">  ; </w:t>
      </w:r>
      <w:hyperlink r:id="rId23" w:history="1">
        <w:r w:rsidR="00581E1B" w:rsidRPr="00015695">
          <w:rPr>
            <w:rStyle w:val="Lienhypertexte"/>
          </w:rPr>
          <w:t>https://doi.org/10.1016/j.thromres.2024.109096</w:t>
        </w:r>
      </w:hyperlink>
      <w:r w:rsidR="00581E1B">
        <w:t xml:space="preserve">  ; </w:t>
      </w:r>
      <w:hyperlink r:id="rId24" w:history="1">
        <w:r w:rsidR="00581E1B" w:rsidRPr="00BE3EDB">
          <w:rPr>
            <w:rStyle w:val="Lienhypertexte"/>
          </w:rPr>
          <w:t>https://doi.org/10.3389/fpubh.2023.1167746</w:t>
        </w:r>
      </w:hyperlink>
    </w:p>
    <w:p w14:paraId="1ED461F7" w14:textId="5FDCF69D" w:rsidR="00581E1B" w:rsidRDefault="00581E1B" w:rsidP="00581E1B">
      <w:pPr>
        <w:pStyle w:val="Paragraphedeliste"/>
        <w:numPr>
          <w:ilvl w:val="0"/>
          <w:numId w:val="13"/>
        </w:numPr>
        <w:jc w:val="both"/>
      </w:pPr>
      <w:r>
        <w:t xml:space="preserve">L’usage détourné du protoxyde d’azote : une violation de la législation applicable aux substances vénéneuses : </w:t>
      </w:r>
      <w:hyperlink r:id="rId25" w:history="1">
        <w:r w:rsidRPr="00581E1B">
          <w:rPr>
            <w:rStyle w:val="Lienhypertexte"/>
          </w:rPr>
          <w:t>L'usage détourné du protoxyde d'azote</w:t>
        </w:r>
        <w:r w:rsidR="00D40D34">
          <w:rPr>
            <w:rStyle w:val="Lienhypertexte"/>
          </w:rPr>
          <w:t xml:space="preserve"> </w:t>
        </w:r>
        <w:r w:rsidRPr="00581E1B">
          <w:rPr>
            <w:rStyle w:val="Lienhypertexte"/>
          </w:rPr>
          <w:t>: une violation de la législation applicable aux substances vénéneuses</w:t>
        </w:r>
      </w:hyperlink>
    </w:p>
    <w:p w14:paraId="5CE56C95" w14:textId="77777777" w:rsidR="000617A7" w:rsidRDefault="000617A7" w:rsidP="000617A7"/>
    <w:sectPr w:rsidR="000617A7">
      <w:footerReference w:type="default" r:id="rId2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CHOMA, Catherine (ARS-OC/DSP/DIRECTION)" w:date="2025-02-20T16:34:00Z" w:initials="CC">
    <w:p w14:paraId="18EA177A" w14:textId="5C12BFEE" w:rsidR="00263352" w:rsidRDefault="00263352" w:rsidP="00263352">
      <w:pPr>
        <w:pStyle w:val="Commentaire"/>
      </w:pPr>
      <w:r>
        <w:rPr>
          <w:rStyle w:val="Marquedecommentaire"/>
        </w:rPr>
        <w:annotationRef/>
      </w:r>
      <w:r>
        <w:t>Cf ma remarque !</w:t>
      </w:r>
    </w:p>
  </w:comment>
  <w:comment w:id="8" w:author="CHANTOISEAU, Laurence (ARS-OC)" w:date="2025-02-21T08:18:00Z" w:initials="LC">
    <w:p w14:paraId="7D9B57B1" w14:textId="77777777" w:rsidR="009C39B1" w:rsidRDefault="009C39B1" w:rsidP="009C39B1">
      <w:pPr>
        <w:pStyle w:val="Commentaire"/>
      </w:pPr>
      <w:r>
        <w:rPr>
          <w:rStyle w:val="Marquedecommentaire"/>
        </w:rPr>
        <w:annotationRef/>
      </w:r>
      <w:r>
        <w:t xml:space="preserve">ARS ARA : </w:t>
      </w:r>
      <w:hyperlink r:id="rId1" w:history="1">
        <w:r w:rsidRPr="00604A66">
          <w:rPr>
            <w:rStyle w:val="Lienhypertexte"/>
          </w:rPr>
          <w:t>Protoxyde d’azote : risques pour sa santé et comment se protéger ? | Agence régionale de santé Auvergne-Rhône-Alpes</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EA177A" w15:done="0"/>
  <w15:commentEx w15:paraId="7D9B57B1" w15:paraIdParent="18EA17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8C31C0" w16cex:dateUtc="2025-02-20T15:34:00Z"/>
  <w16cex:commentExtensible w16cex:durableId="5ED1C86B" w16cex:dateUtc="2025-02-21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EA177A" w16cid:durableId="4A8C31C0"/>
  <w16cid:commentId w16cid:paraId="7D9B57B1" w16cid:durableId="5ED1C8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5DE0F" w14:textId="77777777" w:rsidR="00C25380" w:rsidRDefault="00C25380" w:rsidP="00061930">
      <w:pPr>
        <w:spacing w:after="0" w:line="240" w:lineRule="auto"/>
      </w:pPr>
      <w:r>
        <w:separator/>
      </w:r>
    </w:p>
  </w:endnote>
  <w:endnote w:type="continuationSeparator" w:id="0">
    <w:p w14:paraId="4E718DD3" w14:textId="77777777" w:rsidR="00C25380" w:rsidRDefault="00C25380" w:rsidP="00061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988909"/>
      <w:docPartObj>
        <w:docPartGallery w:val="Page Numbers (Bottom of Page)"/>
        <w:docPartUnique/>
      </w:docPartObj>
    </w:sdtPr>
    <w:sdtContent>
      <w:p w14:paraId="25082DF8" w14:textId="4ACAE25A" w:rsidR="00061930" w:rsidRDefault="00061930">
        <w:pPr>
          <w:pStyle w:val="Pieddepage"/>
          <w:jc w:val="center"/>
        </w:pPr>
        <w:r>
          <w:fldChar w:fldCharType="begin"/>
        </w:r>
        <w:r>
          <w:instrText>PAGE   \* MERGEFORMAT</w:instrText>
        </w:r>
        <w:r>
          <w:fldChar w:fldCharType="separate"/>
        </w:r>
        <w:r>
          <w:t>2</w:t>
        </w:r>
        <w:r>
          <w:fldChar w:fldCharType="end"/>
        </w:r>
      </w:p>
    </w:sdtContent>
  </w:sdt>
  <w:p w14:paraId="1E7E1893" w14:textId="77777777" w:rsidR="00061930" w:rsidRDefault="000619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5E70A" w14:textId="77777777" w:rsidR="00C25380" w:rsidRDefault="00C25380" w:rsidP="00061930">
      <w:pPr>
        <w:spacing w:after="0" w:line="240" w:lineRule="auto"/>
      </w:pPr>
      <w:r>
        <w:separator/>
      </w:r>
    </w:p>
  </w:footnote>
  <w:footnote w:type="continuationSeparator" w:id="0">
    <w:p w14:paraId="789BF979" w14:textId="77777777" w:rsidR="00C25380" w:rsidRDefault="00C25380" w:rsidP="00061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7AF"/>
    <w:multiLevelType w:val="multilevel"/>
    <w:tmpl w:val="52F02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51584"/>
    <w:multiLevelType w:val="hybridMultilevel"/>
    <w:tmpl w:val="130AE962"/>
    <w:lvl w:ilvl="0" w:tplc="DE5C18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D8701E"/>
    <w:multiLevelType w:val="multilevel"/>
    <w:tmpl w:val="F72A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A318A"/>
    <w:multiLevelType w:val="hybridMultilevel"/>
    <w:tmpl w:val="5C742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88268E"/>
    <w:multiLevelType w:val="hybridMultilevel"/>
    <w:tmpl w:val="933AB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8D61A9"/>
    <w:multiLevelType w:val="hybridMultilevel"/>
    <w:tmpl w:val="C3E01D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4A7116"/>
    <w:multiLevelType w:val="hybridMultilevel"/>
    <w:tmpl w:val="6EDC4644"/>
    <w:lvl w:ilvl="0" w:tplc="040C000D">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5C394300"/>
    <w:multiLevelType w:val="hybridMultilevel"/>
    <w:tmpl w:val="3CB8DA6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15:restartNumberingAfterBreak="0">
    <w:nsid w:val="6B375DA3"/>
    <w:multiLevelType w:val="multilevel"/>
    <w:tmpl w:val="8F5089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972A4F"/>
    <w:multiLevelType w:val="multilevel"/>
    <w:tmpl w:val="B284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553AD2"/>
    <w:multiLevelType w:val="hybridMultilevel"/>
    <w:tmpl w:val="6876EC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46685299">
    <w:abstractNumId w:val="0"/>
  </w:num>
  <w:num w:numId="2" w16cid:durableId="198400607">
    <w:abstractNumId w:val="9"/>
  </w:num>
  <w:num w:numId="3" w16cid:durableId="328020446">
    <w:abstractNumId w:val="2"/>
  </w:num>
  <w:num w:numId="4" w16cid:durableId="1443649649">
    <w:abstractNumId w:val="10"/>
  </w:num>
  <w:num w:numId="5" w16cid:durableId="1164468046">
    <w:abstractNumId w:val="1"/>
  </w:num>
  <w:num w:numId="6" w16cid:durableId="966816800">
    <w:abstractNumId w:val="4"/>
  </w:num>
  <w:num w:numId="7" w16cid:durableId="260528288">
    <w:abstractNumId w:val="8"/>
  </w:num>
  <w:num w:numId="8" w16cid:durableId="1314068157">
    <w:abstractNumId w:val="3"/>
  </w:num>
  <w:num w:numId="9" w16cid:durableId="323821457">
    <w:abstractNumId w:val="6"/>
  </w:num>
  <w:num w:numId="10" w16cid:durableId="1896352019">
    <w:abstractNumId w:val="3"/>
  </w:num>
  <w:num w:numId="11" w16cid:durableId="557665320">
    <w:abstractNumId w:val="6"/>
  </w:num>
  <w:num w:numId="12" w16cid:durableId="523981721">
    <w:abstractNumId w:val="7"/>
  </w:num>
  <w:num w:numId="13" w16cid:durableId="1369988413">
    <w:abstractNumId w:val="5"/>
  </w:num>
  <w:num w:numId="14" w16cid:durableId="38221686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OMA, Catherine (ARS-OC/DSP/DIRECTION)">
    <w15:presenceInfo w15:providerId="AD" w15:userId="S::catherine.choma@ars.sante.fr::312c3095-3d8a-4d04-92b3-ab8df5e5dc98"/>
  </w15:person>
  <w15:person w15:author="CHANTOISEAU, Laurence (ARS-OC)">
    <w15:presenceInfo w15:providerId="AD" w15:userId="S::laurence.chantoiseau@ars.sante.fr::14600c26-4184-4e41-8060-c6e162b074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2E"/>
    <w:rsid w:val="0000028B"/>
    <w:rsid w:val="000617A7"/>
    <w:rsid w:val="00061930"/>
    <w:rsid w:val="000A677E"/>
    <w:rsid w:val="000D3848"/>
    <w:rsid w:val="000E5993"/>
    <w:rsid w:val="001110C6"/>
    <w:rsid w:val="00114C86"/>
    <w:rsid w:val="00120DC2"/>
    <w:rsid w:val="00135D44"/>
    <w:rsid w:val="001361BB"/>
    <w:rsid w:val="001402B8"/>
    <w:rsid w:val="00184532"/>
    <w:rsid w:val="002552FD"/>
    <w:rsid w:val="00263352"/>
    <w:rsid w:val="002B7A97"/>
    <w:rsid w:val="00355A63"/>
    <w:rsid w:val="003818FE"/>
    <w:rsid w:val="00395F13"/>
    <w:rsid w:val="003D5AF3"/>
    <w:rsid w:val="00433275"/>
    <w:rsid w:val="0045580A"/>
    <w:rsid w:val="004878F9"/>
    <w:rsid w:val="00490B3D"/>
    <w:rsid w:val="004B1294"/>
    <w:rsid w:val="004C3A8E"/>
    <w:rsid w:val="004D4A8B"/>
    <w:rsid w:val="00581E1B"/>
    <w:rsid w:val="00592465"/>
    <w:rsid w:val="00632311"/>
    <w:rsid w:val="0067659A"/>
    <w:rsid w:val="00681EF2"/>
    <w:rsid w:val="0068560F"/>
    <w:rsid w:val="00696D23"/>
    <w:rsid w:val="006C0BAF"/>
    <w:rsid w:val="006C642E"/>
    <w:rsid w:val="006E1375"/>
    <w:rsid w:val="00752833"/>
    <w:rsid w:val="007B043A"/>
    <w:rsid w:val="007C3AFF"/>
    <w:rsid w:val="007E49E0"/>
    <w:rsid w:val="007F43CB"/>
    <w:rsid w:val="00802A53"/>
    <w:rsid w:val="008076DC"/>
    <w:rsid w:val="00813AB1"/>
    <w:rsid w:val="00837F7C"/>
    <w:rsid w:val="008C5596"/>
    <w:rsid w:val="008F1CFB"/>
    <w:rsid w:val="008F41E0"/>
    <w:rsid w:val="0093286A"/>
    <w:rsid w:val="009C39B1"/>
    <w:rsid w:val="009D0C8C"/>
    <w:rsid w:val="009D380D"/>
    <w:rsid w:val="00A36B80"/>
    <w:rsid w:val="00AA6098"/>
    <w:rsid w:val="00AE5785"/>
    <w:rsid w:val="00AF1DB6"/>
    <w:rsid w:val="00B07F39"/>
    <w:rsid w:val="00B10940"/>
    <w:rsid w:val="00B445EB"/>
    <w:rsid w:val="00C2508B"/>
    <w:rsid w:val="00C25380"/>
    <w:rsid w:val="00C26FB3"/>
    <w:rsid w:val="00C36863"/>
    <w:rsid w:val="00C944BD"/>
    <w:rsid w:val="00C97F6F"/>
    <w:rsid w:val="00CE766E"/>
    <w:rsid w:val="00CF246F"/>
    <w:rsid w:val="00D05EC8"/>
    <w:rsid w:val="00D16697"/>
    <w:rsid w:val="00D40D34"/>
    <w:rsid w:val="00D5258F"/>
    <w:rsid w:val="00D7444C"/>
    <w:rsid w:val="00D749C1"/>
    <w:rsid w:val="00D8696C"/>
    <w:rsid w:val="00DA540B"/>
    <w:rsid w:val="00E84F73"/>
    <w:rsid w:val="00EC0BEB"/>
    <w:rsid w:val="00EE53EF"/>
    <w:rsid w:val="00EF6B97"/>
    <w:rsid w:val="00F055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CCDD4"/>
  <w15:chartTrackingRefBased/>
  <w15:docId w15:val="{7546E468-2B5B-430E-810F-B551EEF8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C642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6C642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6C642E"/>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6C642E"/>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6C642E"/>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6C642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C642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C642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C642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642E"/>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6C642E"/>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6C642E"/>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6C642E"/>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6C642E"/>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6C642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C642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C642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C642E"/>
    <w:rPr>
      <w:rFonts w:eastAsiaTheme="majorEastAsia" w:cstheme="majorBidi"/>
      <w:color w:val="272727" w:themeColor="text1" w:themeTint="D8"/>
    </w:rPr>
  </w:style>
  <w:style w:type="paragraph" w:styleId="Titre">
    <w:name w:val="Title"/>
    <w:basedOn w:val="Normal"/>
    <w:next w:val="Normal"/>
    <w:link w:val="TitreCar"/>
    <w:uiPriority w:val="10"/>
    <w:qFormat/>
    <w:rsid w:val="006C6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C642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C642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C642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C642E"/>
    <w:pPr>
      <w:spacing w:before="160"/>
      <w:jc w:val="center"/>
    </w:pPr>
    <w:rPr>
      <w:i/>
      <w:iCs/>
      <w:color w:val="404040" w:themeColor="text1" w:themeTint="BF"/>
    </w:rPr>
  </w:style>
  <w:style w:type="character" w:customStyle="1" w:styleId="CitationCar">
    <w:name w:val="Citation Car"/>
    <w:basedOn w:val="Policepardfaut"/>
    <w:link w:val="Citation"/>
    <w:uiPriority w:val="29"/>
    <w:rsid w:val="006C642E"/>
    <w:rPr>
      <w:i/>
      <w:iCs/>
      <w:color w:val="404040" w:themeColor="text1" w:themeTint="BF"/>
    </w:rPr>
  </w:style>
  <w:style w:type="paragraph" w:styleId="Paragraphedeliste">
    <w:name w:val="List Paragraph"/>
    <w:basedOn w:val="Normal"/>
    <w:uiPriority w:val="34"/>
    <w:qFormat/>
    <w:rsid w:val="006C642E"/>
    <w:pPr>
      <w:ind w:left="720"/>
      <w:contextualSpacing/>
    </w:pPr>
  </w:style>
  <w:style w:type="character" w:styleId="Accentuationintense">
    <w:name w:val="Intense Emphasis"/>
    <w:basedOn w:val="Policepardfaut"/>
    <w:uiPriority w:val="21"/>
    <w:qFormat/>
    <w:rsid w:val="006C642E"/>
    <w:rPr>
      <w:i/>
      <w:iCs/>
      <w:color w:val="2E74B5" w:themeColor="accent1" w:themeShade="BF"/>
    </w:rPr>
  </w:style>
  <w:style w:type="paragraph" w:styleId="Citationintense">
    <w:name w:val="Intense Quote"/>
    <w:basedOn w:val="Normal"/>
    <w:next w:val="Normal"/>
    <w:link w:val="CitationintenseCar"/>
    <w:uiPriority w:val="30"/>
    <w:qFormat/>
    <w:rsid w:val="006C642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6C642E"/>
    <w:rPr>
      <w:i/>
      <w:iCs/>
      <w:color w:val="2E74B5" w:themeColor="accent1" w:themeShade="BF"/>
    </w:rPr>
  </w:style>
  <w:style w:type="character" w:styleId="Rfrenceintense">
    <w:name w:val="Intense Reference"/>
    <w:basedOn w:val="Policepardfaut"/>
    <w:uiPriority w:val="32"/>
    <w:qFormat/>
    <w:rsid w:val="006C642E"/>
    <w:rPr>
      <w:b/>
      <w:bCs/>
      <w:smallCaps/>
      <w:color w:val="2E74B5" w:themeColor="accent1" w:themeShade="BF"/>
      <w:spacing w:val="5"/>
    </w:rPr>
  </w:style>
  <w:style w:type="character" w:styleId="Lienhypertexte">
    <w:name w:val="Hyperlink"/>
    <w:basedOn w:val="Policepardfaut"/>
    <w:uiPriority w:val="99"/>
    <w:unhideWhenUsed/>
    <w:rsid w:val="000D3848"/>
    <w:rPr>
      <w:color w:val="0563C1" w:themeColor="hyperlink"/>
      <w:u w:val="single"/>
    </w:rPr>
  </w:style>
  <w:style w:type="character" w:styleId="Mentionnonrsolue">
    <w:name w:val="Unresolved Mention"/>
    <w:basedOn w:val="Policepardfaut"/>
    <w:uiPriority w:val="99"/>
    <w:semiHidden/>
    <w:unhideWhenUsed/>
    <w:rsid w:val="000D3848"/>
    <w:rPr>
      <w:color w:val="605E5C"/>
      <w:shd w:val="clear" w:color="auto" w:fill="E1DFDD"/>
    </w:rPr>
  </w:style>
  <w:style w:type="character" w:styleId="Lienhypertextesuivivisit">
    <w:name w:val="FollowedHyperlink"/>
    <w:basedOn w:val="Policepardfaut"/>
    <w:uiPriority w:val="99"/>
    <w:semiHidden/>
    <w:unhideWhenUsed/>
    <w:rsid w:val="00061930"/>
    <w:rPr>
      <w:color w:val="954F72" w:themeColor="followedHyperlink"/>
      <w:u w:val="single"/>
    </w:rPr>
  </w:style>
  <w:style w:type="paragraph" w:styleId="En-tte">
    <w:name w:val="header"/>
    <w:basedOn w:val="Normal"/>
    <w:link w:val="En-tteCar"/>
    <w:uiPriority w:val="99"/>
    <w:unhideWhenUsed/>
    <w:rsid w:val="00061930"/>
    <w:pPr>
      <w:tabs>
        <w:tab w:val="center" w:pos="4536"/>
        <w:tab w:val="right" w:pos="9072"/>
      </w:tabs>
      <w:spacing w:after="0" w:line="240" w:lineRule="auto"/>
    </w:pPr>
  </w:style>
  <w:style w:type="character" w:customStyle="1" w:styleId="En-tteCar">
    <w:name w:val="En-tête Car"/>
    <w:basedOn w:val="Policepardfaut"/>
    <w:link w:val="En-tte"/>
    <w:uiPriority w:val="99"/>
    <w:rsid w:val="00061930"/>
  </w:style>
  <w:style w:type="paragraph" w:styleId="Pieddepage">
    <w:name w:val="footer"/>
    <w:basedOn w:val="Normal"/>
    <w:link w:val="PieddepageCar"/>
    <w:uiPriority w:val="99"/>
    <w:unhideWhenUsed/>
    <w:rsid w:val="000619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1930"/>
  </w:style>
  <w:style w:type="paragraph" w:styleId="Rvision">
    <w:name w:val="Revision"/>
    <w:hidden/>
    <w:uiPriority w:val="99"/>
    <w:semiHidden/>
    <w:rsid w:val="007B043A"/>
    <w:pPr>
      <w:spacing w:after="0" w:line="240" w:lineRule="auto"/>
    </w:pPr>
  </w:style>
  <w:style w:type="character" w:styleId="Marquedecommentaire">
    <w:name w:val="annotation reference"/>
    <w:basedOn w:val="Policepardfaut"/>
    <w:uiPriority w:val="99"/>
    <w:semiHidden/>
    <w:unhideWhenUsed/>
    <w:rsid w:val="00490B3D"/>
    <w:rPr>
      <w:sz w:val="16"/>
      <w:szCs w:val="16"/>
    </w:rPr>
  </w:style>
  <w:style w:type="paragraph" w:styleId="Commentaire">
    <w:name w:val="annotation text"/>
    <w:basedOn w:val="Normal"/>
    <w:link w:val="CommentaireCar"/>
    <w:uiPriority w:val="99"/>
    <w:unhideWhenUsed/>
    <w:rsid w:val="00490B3D"/>
    <w:pPr>
      <w:spacing w:line="240" w:lineRule="auto"/>
    </w:pPr>
    <w:rPr>
      <w:sz w:val="20"/>
      <w:szCs w:val="20"/>
    </w:rPr>
  </w:style>
  <w:style w:type="character" w:customStyle="1" w:styleId="CommentaireCar">
    <w:name w:val="Commentaire Car"/>
    <w:basedOn w:val="Policepardfaut"/>
    <w:link w:val="Commentaire"/>
    <w:uiPriority w:val="99"/>
    <w:rsid w:val="00490B3D"/>
    <w:rPr>
      <w:sz w:val="20"/>
      <w:szCs w:val="20"/>
    </w:rPr>
  </w:style>
  <w:style w:type="paragraph" w:styleId="Objetducommentaire">
    <w:name w:val="annotation subject"/>
    <w:basedOn w:val="Commentaire"/>
    <w:next w:val="Commentaire"/>
    <w:link w:val="ObjetducommentaireCar"/>
    <w:uiPriority w:val="99"/>
    <w:semiHidden/>
    <w:unhideWhenUsed/>
    <w:rsid w:val="00490B3D"/>
    <w:rPr>
      <w:b/>
      <w:bCs/>
    </w:rPr>
  </w:style>
  <w:style w:type="character" w:customStyle="1" w:styleId="ObjetducommentaireCar">
    <w:name w:val="Objet du commentaire Car"/>
    <w:basedOn w:val="CommentaireCar"/>
    <w:link w:val="Objetducommentaire"/>
    <w:uiPriority w:val="99"/>
    <w:semiHidden/>
    <w:rsid w:val="00490B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75900">
      <w:bodyDiv w:val="1"/>
      <w:marLeft w:val="0"/>
      <w:marRight w:val="0"/>
      <w:marTop w:val="0"/>
      <w:marBottom w:val="0"/>
      <w:divBdr>
        <w:top w:val="none" w:sz="0" w:space="0" w:color="auto"/>
        <w:left w:val="none" w:sz="0" w:space="0" w:color="auto"/>
        <w:bottom w:val="none" w:sz="0" w:space="0" w:color="auto"/>
        <w:right w:val="none" w:sz="0" w:space="0" w:color="auto"/>
      </w:divBdr>
    </w:div>
    <w:div w:id="391008404">
      <w:bodyDiv w:val="1"/>
      <w:marLeft w:val="0"/>
      <w:marRight w:val="0"/>
      <w:marTop w:val="0"/>
      <w:marBottom w:val="0"/>
      <w:divBdr>
        <w:top w:val="none" w:sz="0" w:space="0" w:color="auto"/>
        <w:left w:val="none" w:sz="0" w:space="0" w:color="auto"/>
        <w:bottom w:val="none" w:sz="0" w:space="0" w:color="auto"/>
        <w:right w:val="none" w:sz="0" w:space="0" w:color="auto"/>
      </w:divBdr>
    </w:div>
    <w:div w:id="954555007">
      <w:bodyDiv w:val="1"/>
      <w:marLeft w:val="0"/>
      <w:marRight w:val="0"/>
      <w:marTop w:val="0"/>
      <w:marBottom w:val="0"/>
      <w:divBdr>
        <w:top w:val="none" w:sz="0" w:space="0" w:color="auto"/>
        <w:left w:val="none" w:sz="0" w:space="0" w:color="auto"/>
        <w:bottom w:val="none" w:sz="0" w:space="0" w:color="auto"/>
        <w:right w:val="none" w:sz="0" w:space="0" w:color="auto"/>
      </w:divBdr>
    </w:div>
    <w:div w:id="1109007324">
      <w:bodyDiv w:val="1"/>
      <w:marLeft w:val="0"/>
      <w:marRight w:val="0"/>
      <w:marTop w:val="0"/>
      <w:marBottom w:val="0"/>
      <w:divBdr>
        <w:top w:val="none" w:sz="0" w:space="0" w:color="auto"/>
        <w:left w:val="none" w:sz="0" w:space="0" w:color="auto"/>
        <w:bottom w:val="none" w:sz="0" w:space="0" w:color="auto"/>
        <w:right w:val="none" w:sz="0" w:space="0" w:color="auto"/>
      </w:divBdr>
    </w:div>
    <w:div w:id="1131824715">
      <w:bodyDiv w:val="1"/>
      <w:marLeft w:val="0"/>
      <w:marRight w:val="0"/>
      <w:marTop w:val="0"/>
      <w:marBottom w:val="0"/>
      <w:divBdr>
        <w:top w:val="none" w:sz="0" w:space="0" w:color="auto"/>
        <w:left w:val="none" w:sz="0" w:space="0" w:color="auto"/>
        <w:bottom w:val="none" w:sz="0" w:space="0" w:color="auto"/>
        <w:right w:val="none" w:sz="0" w:space="0" w:color="auto"/>
      </w:divBdr>
    </w:div>
    <w:div w:id="1187863358">
      <w:bodyDiv w:val="1"/>
      <w:marLeft w:val="0"/>
      <w:marRight w:val="0"/>
      <w:marTop w:val="0"/>
      <w:marBottom w:val="0"/>
      <w:divBdr>
        <w:top w:val="none" w:sz="0" w:space="0" w:color="auto"/>
        <w:left w:val="none" w:sz="0" w:space="0" w:color="auto"/>
        <w:bottom w:val="none" w:sz="0" w:space="0" w:color="auto"/>
        <w:right w:val="none" w:sz="0" w:space="0" w:color="auto"/>
      </w:divBdr>
      <w:divsChild>
        <w:div w:id="291447150">
          <w:marLeft w:val="0"/>
          <w:marRight w:val="0"/>
          <w:marTop w:val="300"/>
          <w:marBottom w:val="300"/>
          <w:divBdr>
            <w:top w:val="none" w:sz="0" w:space="0" w:color="auto"/>
            <w:left w:val="single" w:sz="48" w:space="31" w:color="85CC25"/>
            <w:bottom w:val="none" w:sz="0" w:space="0" w:color="auto"/>
            <w:right w:val="none" w:sz="0" w:space="0" w:color="auto"/>
          </w:divBdr>
        </w:div>
        <w:div w:id="199392481">
          <w:marLeft w:val="0"/>
          <w:marRight w:val="0"/>
          <w:marTop w:val="0"/>
          <w:marBottom w:val="0"/>
          <w:divBdr>
            <w:top w:val="none" w:sz="0" w:space="0" w:color="auto"/>
            <w:left w:val="none" w:sz="0" w:space="0" w:color="auto"/>
            <w:bottom w:val="none" w:sz="0" w:space="0" w:color="auto"/>
            <w:right w:val="none" w:sz="0" w:space="0" w:color="auto"/>
          </w:divBdr>
        </w:div>
        <w:div w:id="1636252367">
          <w:marLeft w:val="0"/>
          <w:marRight w:val="0"/>
          <w:marTop w:val="0"/>
          <w:marBottom w:val="0"/>
          <w:divBdr>
            <w:top w:val="none" w:sz="0" w:space="0" w:color="auto"/>
            <w:left w:val="none" w:sz="0" w:space="0" w:color="auto"/>
            <w:bottom w:val="none" w:sz="0" w:space="0" w:color="auto"/>
            <w:right w:val="none" w:sz="0" w:space="0" w:color="auto"/>
          </w:divBdr>
        </w:div>
        <w:div w:id="539900882">
          <w:marLeft w:val="0"/>
          <w:marRight w:val="0"/>
          <w:marTop w:val="0"/>
          <w:marBottom w:val="0"/>
          <w:divBdr>
            <w:top w:val="none" w:sz="0" w:space="0" w:color="auto"/>
            <w:left w:val="none" w:sz="0" w:space="0" w:color="auto"/>
            <w:bottom w:val="none" w:sz="0" w:space="0" w:color="auto"/>
            <w:right w:val="none" w:sz="0" w:space="0" w:color="auto"/>
          </w:divBdr>
        </w:div>
        <w:div w:id="2141529211">
          <w:marLeft w:val="0"/>
          <w:marRight w:val="0"/>
          <w:marTop w:val="0"/>
          <w:marBottom w:val="0"/>
          <w:divBdr>
            <w:top w:val="none" w:sz="0" w:space="0" w:color="auto"/>
            <w:left w:val="none" w:sz="0" w:space="0" w:color="auto"/>
            <w:bottom w:val="none" w:sz="0" w:space="0" w:color="auto"/>
            <w:right w:val="none" w:sz="0" w:space="0" w:color="auto"/>
          </w:divBdr>
        </w:div>
        <w:div w:id="127625696">
          <w:marLeft w:val="0"/>
          <w:marRight w:val="0"/>
          <w:marTop w:val="0"/>
          <w:marBottom w:val="0"/>
          <w:divBdr>
            <w:top w:val="none" w:sz="0" w:space="0" w:color="auto"/>
            <w:left w:val="none" w:sz="0" w:space="0" w:color="auto"/>
            <w:bottom w:val="none" w:sz="0" w:space="0" w:color="auto"/>
            <w:right w:val="none" w:sz="0" w:space="0" w:color="auto"/>
          </w:divBdr>
        </w:div>
        <w:div w:id="1654485842">
          <w:marLeft w:val="0"/>
          <w:marRight w:val="0"/>
          <w:marTop w:val="0"/>
          <w:marBottom w:val="0"/>
          <w:divBdr>
            <w:top w:val="none" w:sz="0" w:space="0" w:color="auto"/>
            <w:left w:val="none" w:sz="0" w:space="0" w:color="auto"/>
            <w:bottom w:val="none" w:sz="0" w:space="0" w:color="auto"/>
            <w:right w:val="none" w:sz="0" w:space="0" w:color="auto"/>
          </w:divBdr>
        </w:div>
        <w:div w:id="734474116">
          <w:marLeft w:val="0"/>
          <w:marRight w:val="0"/>
          <w:marTop w:val="0"/>
          <w:marBottom w:val="0"/>
          <w:divBdr>
            <w:top w:val="none" w:sz="0" w:space="0" w:color="auto"/>
            <w:left w:val="none" w:sz="0" w:space="0" w:color="auto"/>
            <w:bottom w:val="none" w:sz="0" w:space="0" w:color="auto"/>
            <w:right w:val="none" w:sz="0" w:space="0" w:color="auto"/>
          </w:divBdr>
        </w:div>
        <w:div w:id="1752383449">
          <w:marLeft w:val="0"/>
          <w:marRight w:val="0"/>
          <w:marTop w:val="0"/>
          <w:marBottom w:val="0"/>
          <w:divBdr>
            <w:top w:val="none" w:sz="0" w:space="0" w:color="auto"/>
            <w:left w:val="none" w:sz="0" w:space="0" w:color="auto"/>
            <w:bottom w:val="none" w:sz="0" w:space="0" w:color="auto"/>
            <w:right w:val="none" w:sz="0" w:space="0" w:color="auto"/>
          </w:divBdr>
        </w:div>
        <w:div w:id="341854985">
          <w:marLeft w:val="0"/>
          <w:marRight w:val="0"/>
          <w:marTop w:val="0"/>
          <w:marBottom w:val="0"/>
          <w:divBdr>
            <w:top w:val="none" w:sz="0" w:space="0" w:color="auto"/>
            <w:left w:val="none" w:sz="0" w:space="0" w:color="auto"/>
            <w:bottom w:val="none" w:sz="0" w:space="0" w:color="auto"/>
            <w:right w:val="none" w:sz="0" w:space="0" w:color="auto"/>
          </w:divBdr>
        </w:div>
        <w:div w:id="906719500">
          <w:marLeft w:val="0"/>
          <w:marRight w:val="0"/>
          <w:marTop w:val="0"/>
          <w:marBottom w:val="0"/>
          <w:divBdr>
            <w:top w:val="none" w:sz="0" w:space="0" w:color="auto"/>
            <w:left w:val="none" w:sz="0" w:space="0" w:color="auto"/>
            <w:bottom w:val="none" w:sz="0" w:space="0" w:color="auto"/>
            <w:right w:val="none" w:sz="0" w:space="0" w:color="auto"/>
          </w:divBdr>
        </w:div>
        <w:div w:id="68963222">
          <w:marLeft w:val="0"/>
          <w:marRight w:val="0"/>
          <w:marTop w:val="0"/>
          <w:marBottom w:val="0"/>
          <w:divBdr>
            <w:top w:val="none" w:sz="0" w:space="0" w:color="auto"/>
            <w:left w:val="none" w:sz="0" w:space="0" w:color="auto"/>
            <w:bottom w:val="none" w:sz="0" w:space="0" w:color="auto"/>
            <w:right w:val="none" w:sz="0" w:space="0" w:color="auto"/>
          </w:divBdr>
        </w:div>
        <w:div w:id="1505969872">
          <w:marLeft w:val="0"/>
          <w:marRight w:val="0"/>
          <w:marTop w:val="0"/>
          <w:marBottom w:val="0"/>
          <w:divBdr>
            <w:top w:val="none" w:sz="0" w:space="0" w:color="auto"/>
            <w:left w:val="none" w:sz="0" w:space="0" w:color="auto"/>
            <w:bottom w:val="none" w:sz="0" w:space="0" w:color="auto"/>
            <w:right w:val="none" w:sz="0" w:space="0" w:color="auto"/>
          </w:divBdr>
          <w:divsChild>
            <w:div w:id="1255170451">
              <w:marLeft w:val="0"/>
              <w:marRight w:val="0"/>
              <w:marTop w:val="0"/>
              <w:marBottom w:val="0"/>
              <w:divBdr>
                <w:top w:val="none" w:sz="0" w:space="0" w:color="auto"/>
                <w:left w:val="none" w:sz="0" w:space="0" w:color="auto"/>
                <w:bottom w:val="none" w:sz="0" w:space="0" w:color="auto"/>
                <w:right w:val="none" w:sz="0" w:space="0" w:color="auto"/>
              </w:divBdr>
            </w:div>
            <w:div w:id="2006470562">
              <w:marLeft w:val="0"/>
              <w:marRight w:val="0"/>
              <w:marTop w:val="0"/>
              <w:marBottom w:val="0"/>
              <w:divBdr>
                <w:top w:val="none" w:sz="0" w:space="0" w:color="auto"/>
                <w:left w:val="none" w:sz="0" w:space="0" w:color="auto"/>
                <w:bottom w:val="none" w:sz="0" w:space="0" w:color="auto"/>
                <w:right w:val="none" w:sz="0" w:space="0" w:color="auto"/>
              </w:divBdr>
            </w:div>
            <w:div w:id="718087099">
              <w:marLeft w:val="0"/>
              <w:marRight w:val="0"/>
              <w:marTop w:val="0"/>
              <w:marBottom w:val="0"/>
              <w:divBdr>
                <w:top w:val="none" w:sz="0" w:space="0" w:color="auto"/>
                <w:left w:val="none" w:sz="0" w:space="0" w:color="auto"/>
                <w:bottom w:val="none" w:sz="0" w:space="0" w:color="auto"/>
                <w:right w:val="none" w:sz="0" w:space="0" w:color="auto"/>
              </w:divBdr>
            </w:div>
            <w:div w:id="1486122771">
              <w:marLeft w:val="0"/>
              <w:marRight w:val="0"/>
              <w:marTop w:val="0"/>
              <w:marBottom w:val="0"/>
              <w:divBdr>
                <w:top w:val="none" w:sz="0" w:space="0" w:color="auto"/>
                <w:left w:val="none" w:sz="0" w:space="0" w:color="auto"/>
                <w:bottom w:val="none" w:sz="0" w:space="0" w:color="auto"/>
                <w:right w:val="none" w:sz="0" w:space="0" w:color="auto"/>
              </w:divBdr>
              <w:divsChild>
                <w:div w:id="1182625251">
                  <w:marLeft w:val="0"/>
                  <w:marRight w:val="0"/>
                  <w:marTop w:val="0"/>
                  <w:marBottom w:val="0"/>
                  <w:divBdr>
                    <w:top w:val="none" w:sz="0" w:space="0" w:color="auto"/>
                    <w:left w:val="none" w:sz="0" w:space="0" w:color="auto"/>
                    <w:bottom w:val="none" w:sz="0" w:space="0" w:color="auto"/>
                    <w:right w:val="none" w:sz="0" w:space="0" w:color="auto"/>
                  </w:divBdr>
                </w:div>
                <w:div w:id="1419251284">
                  <w:marLeft w:val="0"/>
                  <w:marRight w:val="0"/>
                  <w:marTop w:val="0"/>
                  <w:marBottom w:val="0"/>
                  <w:divBdr>
                    <w:top w:val="none" w:sz="0" w:space="0" w:color="auto"/>
                    <w:left w:val="none" w:sz="0" w:space="0" w:color="auto"/>
                    <w:bottom w:val="none" w:sz="0" w:space="0" w:color="auto"/>
                    <w:right w:val="none" w:sz="0" w:space="0" w:color="auto"/>
                  </w:divBdr>
                </w:div>
                <w:div w:id="6735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336968">
      <w:bodyDiv w:val="1"/>
      <w:marLeft w:val="0"/>
      <w:marRight w:val="0"/>
      <w:marTop w:val="0"/>
      <w:marBottom w:val="0"/>
      <w:divBdr>
        <w:top w:val="none" w:sz="0" w:space="0" w:color="auto"/>
        <w:left w:val="none" w:sz="0" w:space="0" w:color="auto"/>
        <w:bottom w:val="none" w:sz="0" w:space="0" w:color="auto"/>
        <w:right w:val="none" w:sz="0" w:space="0" w:color="auto"/>
      </w:divBdr>
    </w:div>
    <w:div w:id="1438407478">
      <w:bodyDiv w:val="1"/>
      <w:marLeft w:val="0"/>
      <w:marRight w:val="0"/>
      <w:marTop w:val="0"/>
      <w:marBottom w:val="0"/>
      <w:divBdr>
        <w:top w:val="none" w:sz="0" w:space="0" w:color="auto"/>
        <w:left w:val="none" w:sz="0" w:space="0" w:color="auto"/>
        <w:bottom w:val="none" w:sz="0" w:space="0" w:color="auto"/>
        <w:right w:val="none" w:sz="0" w:space="0" w:color="auto"/>
      </w:divBdr>
      <w:divsChild>
        <w:div w:id="1005741478">
          <w:marLeft w:val="0"/>
          <w:marRight w:val="0"/>
          <w:marTop w:val="300"/>
          <w:marBottom w:val="300"/>
          <w:divBdr>
            <w:top w:val="none" w:sz="0" w:space="0" w:color="auto"/>
            <w:left w:val="single" w:sz="48" w:space="31" w:color="85CC25"/>
            <w:bottom w:val="none" w:sz="0" w:space="0" w:color="auto"/>
            <w:right w:val="none" w:sz="0" w:space="0" w:color="auto"/>
          </w:divBdr>
        </w:div>
        <w:div w:id="1007824769">
          <w:marLeft w:val="0"/>
          <w:marRight w:val="0"/>
          <w:marTop w:val="0"/>
          <w:marBottom w:val="0"/>
          <w:divBdr>
            <w:top w:val="none" w:sz="0" w:space="0" w:color="auto"/>
            <w:left w:val="none" w:sz="0" w:space="0" w:color="auto"/>
            <w:bottom w:val="none" w:sz="0" w:space="0" w:color="auto"/>
            <w:right w:val="none" w:sz="0" w:space="0" w:color="auto"/>
          </w:divBdr>
        </w:div>
        <w:div w:id="1840929501">
          <w:marLeft w:val="0"/>
          <w:marRight w:val="0"/>
          <w:marTop w:val="0"/>
          <w:marBottom w:val="0"/>
          <w:divBdr>
            <w:top w:val="none" w:sz="0" w:space="0" w:color="auto"/>
            <w:left w:val="none" w:sz="0" w:space="0" w:color="auto"/>
            <w:bottom w:val="none" w:sz="0" w:space="0" w:color="auto"/>
            <w:right w:val="none" w:sz="0" w:space="0" w:color="auto"/>
          </w:divBdr>
        </w:div>
        <w:div w:id="2094348471">
          <w:marLeft w:val="0"/>
          <w:marRight w:val="0"/>
          <w:marTop w:val="0"/>
          <w:marBottom w:val="0"/>
          <w:divBdr>
            <w:top w:val="none" w:sz="0" w:space="0" w:color="auto"/>
            <w:left w:val="none" w:sz="0" w:space="0" w:color="auto"/>
            <w:bottom w:val="none" w:sz="0" w:space="0" w:color="auto"/>
            <w:right w:val="none" w:sz="0" w:space="0" w:color="auto"/>
          </w:divBdr>
        </w:div>
        <w:div w:id="1703942503">
          <w:marLeft w:val="0"/>
          <w:marRight w:val="0"/>
          <w:marTop w:val="0"/>
          <w:marBottom w:val="0"/>
          <w:divBdr>
            <w:top w:val="none" w:sz="0" w:space="0" w:color="auto"/>
            <w:left w:val="none" w:sz="0" w:space="0" w:color="auto"/>
            <w:bottom w:val="none" w:sz="0" w:space="0" w:color="auto"/>
            <w:right w:val="none" w:sz="0" w:space="0" w:color="auto"/>
          </w:divBdr>
        </w:div>
        <w:div w:id="276910160">
          <w:marLeft w:val="0"/>
          <w:marRight w:val="0"/>
          <w:marTop w:val="0"/>
          <w:marBottom w:val="0"/>
          <w:divBdr>
            <w:top w:val="none" w:sz="0" w:space="0" w:color="auto"/>
            <w:left w:val="none" w:sz="0" w:space="0" w:color="auto"/>
            <w:bottom w:val="none" w:sz="0" w:space="0" w:color="auto"/>
            <w:right w:val="none" w:sz="0" w:space="0" w:color="auto"/>
          </w:divBdr>
        </w:div>
        <w:div w:id="938833204">
          <w:marLeft w:val="0"/>
          <w:marRight w:val="0"/>
          <w:marTop w:val="0"/>
          <w:marBottom w:val="0"/>
          <w:divBdr>
            <w:top w:val="none" w:sz="0" w:space="0" w:color="auto"/>
            <w:left w:val="none" w:sz="0" w:space="0" w:color="auto"/>
            <w:bottom w:val="none" w:sz="0" w:space="0" w:color="auto"/>
            <w:right w:val="none" w:sz="0" w:space="0" w:color="auto"/>
          </w:divBdr>
        </w:div>
        <w:div w:id="1836142543">
          <w:marLeft w:val="0"/>
          <w:marRight w:val="0"/>
          <w:marTop w:val="0"/>
          <w:marBottom w:val="0"/>
          <w:divBdr>
            <w:top w:val="none" w:sz="0" w:space="0" w:color="auto"/>
            <w:left w:val="none" w:sz="0" w:space="0" w:color="auto"/>
            <w:bottom w:val="none" w:sz="0" w:space="0" w:color="auto"/>
            <w:right w:val="none" w:sz="0" w:space="0" w:color="auto"/>
          </w:divBdr>
        </w:div>
        <w:div w:id="1586841718">
          <w:marLeft w:val="0"/>
          <w:marRight w:val="0"/>
          <w:marTop w:val="0"/>
          <w:marBottom w:val="0"/>
          <w:divBdr>
            <w:top w:val="none" w:sz="0" w:space="0" w:color="auto"/>
            <w:left w:val="none" w:sz="0" w:space="0" w:color="auto"/>
            <w:bottom w:val="none" w:sz="0" w:space="0" w:color="auto"/>
            <w:right w:val="none" w:sz="0" w:space="0" w:color="auto"/>
          </w:divBdr>
        </w:div>
        <w:div w:id="1874685820">
          <w:marLeft w:val="0"/>
          <w:marRight w:val="0"/>
          <w:marTop w:val="0"/>
          <w:marBottom w:val="0"/>
          <w:divBdr>
            <w:top w:val="none" w:sz="0" w:space="0" w:color="auto"/>
            <w:left w:val="none" w:sz="0" w:space="0" w:color="auto"/>
            <w:bottom w:val="none" w:sz="0" w:space="0" w:color="auto"/>
            <w:right w:val="none" w:sz="0" w:space="0" w:color="auto"/>
          </w:divBdr>
        </w:div>
        <w:div w:id="125242744">
          <w:marLeft w:val="0"/>
          <w:marRight w:val="0"/>
          <w:marTop w:val="0"/>
          <w:marBottom w:val="0"/>
          <w:divBdr>
            <w:top w:val="none" w:sz="0" w:space="0" w:color="auto"/>
            <w:left w:val="none" w:sz="0" w:space="0" w:color="auto"/>
            <w:bottom w:val="none" w:sz="0" w:space="0" w:color="auto"/>
            <w:right w:val="none" w:sz="0" w:space="0" w:color="auto"/>
          </w:divBdr>
        </w:div>
        <w:div w:id="777716365">
          <w:marLeft w:val="0"/>
          <w:marRight w:val="0"/>
          <w:marTop w:val="0"/>
          <w:marBottom w:val="0"/>
          <w:divBdr>
            <w:top w:val="none" w:sz="0" w:space="0" w:color="auto"/>
            <w:left w:val="none" w:sz="0" w:space="0" w:color="auto"/>
            <w:bottom w:val="none" w:sz="0" w:space="0" w:color="auto"/>
            <w:right w:val="none" w:sz="0" w:space="0" w:color="auto"/>
          </w:divBdr>
        </w:div>
        <w:div w:id="2049573463">
          <w:marLeft w:val="0"/>
          <w:marRight w:val="0"/>
          <w:marTop w:val="0"/>
          <w:marBottom w:val="0"/>
          <w:divBdr>
            <w:top w:val="none" w:sz="0" w:space="0" w:color="auto"/>
            <w:left w:val="none" w:sz="0" w:space="0" w:color="auto"/>
            <w:bottom w:val="none" w:sz="0" w:space="0" w:color="auto"/>
            <w:right w:val="none" w:sz="0" w:space="0" w:color="auto"/>
          </w:divBdr>
          <w:divsChild>
            <w:div w:id="1353729641">
              <w:marLeft w:val="0"/>
              <w:marRight w:val="0"/>
              <w:marTop w:val="0"/>
              <w:marBottom w:val="0"/>
              <w:divBdr>
                <w:top w:val="none" w:sz="0" w:space="0" w:color="auto"/>
                <w:left w:val="none" w:sz="0" w:space="0" w:color="auto"/>
                <w:bottom w:val="none" w:sz="0" w:space="0" w:color="auto"/>
                <w:right w:val="none" w:sz="0" w:space="0" w:color="auto"/>
              </w:divBdr>
            </w:div>
            <w:div w:id="1380517479">
              <w:marLeft w:val="0"/>
              <w:marRight w:val="0"/>
              <w:marTop w:val="0"/>
              <w:marBottom w:val="0"/>
              <w:divBdr>
                <w:top w:val="none" w:sz="0" w:space="0" w:color="auto"/>
                <w:left w:val="none" w:sz="0" w:space="0" w:color="auto"/>
                <w:bottom w:val="none" w:sz="0" w:space="0" w:color="auto"/>
                <w:right w:val="none" w:sz="0" w:space="0" w:color="auto"/>
              </w:divBdr>
            </w:div>
            <w:div w:id="854422063">
              <w:marLeft w:val="0"/>
              <w:marRight w:val="0"/>
              <w:marTop w:val="0"/>
              <w:marBottom w:val="0"/>
              <w:divBdr>
                <w:top w:val="none" w:sz="0" w:space="0" w:color="auto"/>
                <w:left w:val="none" w:sz="0" w:space="0" w:color="auto"/>
                <w:bottom w:val="none" w:sz="0" w:space="0" w:color="auto"/>
                <w:right w:val="none" w:sz="0" w:space="0" w:color="auto"/>
              </w:divBdr>
            </w:div>
            <w:div w:id="1856845601">
              <w:marLeft w:val="0"/>
              <w:marRight w:val="0"/>
              <w:marTop w:val="0"/>
              <w:marBottom w:val="0"/>
              <w:divBdr>
                <w:top w:val="none" w:sz="0" w:space="0" w:color="auto"/>
                <w:left w:val="none" w:sz="0" w:space="0" w:color="auto"/>
                <w:bottom w:val="none" w:sz="0" w:space="0" w:color="auto"/>
                <w:right w:val="none" w:sz="0" w:space="0" w:color="auto"/>
              </w:divBdr>
              <w:divsChild>
                <w:div w:id="240916154">
                  <w:marLeft w:val="0"/>
                  <w:marRight w:val="0"/>
                  <w:marTop w:val="0"/>
                  <w:marBottom w:val="0"/>
                  <w:divBdr>
                    <w:top w:val="none" w:sz="0" w:space="0" w:color="auto"/>
                    <w:left w:val="none" w:sz="0" w:space="0" w:color="auto"/>
                    <w:bottom w:val="none" w:sz="0" w:space="0" w:color="auto"/>
                    <w:right w:val="none" w:sz="0" w:space="0" w:color="auto"/>
                  </w:divBdr>
                </w:div>
                <w:div w:id="1535770714">
                  <w:marLeft w:val="0"/>
                  <w:marRight w:val="0"/>
                  <w:marTop w:val="0"/>
                  <w:marBottom w:val="0"/>
                  <w:divBdr>
                    <w:top w:val="none" w:sz="0" w:space="0" w:color="auto"/>
                    <w:left w:val="none" w:sz="0" w:space="0" w:color="auto"/>
                    <w:bottom w:val="none" w:sz="0" w:space="0" w:color="auto"/>
                    <w:right w:val="none" w:sz="0" w:space="0" w:color="auto"/>
                  </w:divBdr>
                </w:div>
                <w:div w:id="13874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74190">
      <w:bodyDiv w:val="1"/>
      <w:marLeft w:val="0"/>
      <w:marRight w:val="0"/>
      <w:marTop w:val="0"/>
      <w:marBottom w:val="0"/>
      <w:divBdr>
        <w:top w:val="none" w:sz="0" w:space="0" w:color="auto"/>
        <w:left w:val="none" w:sz="0" w:space="0" w:color="auto"/>
        <w:bottom w:val="none" w:sz="0" w:space="0" w:color="auto"/>
        <w:right w:val="none" w:sz="0" w:space="0" w:color="auto"/>
      </w:divBdr>
    </w:div>
    <w:div w:id="1802796984">
      <w:bodyDiv w:val="1"/>
      <w:marLeft w:val="0"/>
      <w:marRight w:val="0"/>
      <w:marTop w:val="0"/>
      <w:marBottom w:val="0"/>
      <w:divBdr>
        <w:top w:val="none" w:sz="0" w:space="0" w:color="auto"/>
        <w:left w:val="none" w:sz="0" w:space="0" w:color="auto"/>
        <w:bottom w:val="none" w:sz="0" w:space="0" w:color="auto"/>
        <w:right w:val="none" w:sz="0" w:space="0" w:color="auto"/>
      </w:divBdr>
    </w:div>
    <w:div w:id="1924954002">
      <w:bodyDiv w:val="1"/>
      <w:marLeft w:val="0"/>
      <w:marRight w:val="0"/>
      <w:marTop w:val="0"/>
      <w:marBottom w:val="0"/>
      <w:divBdr>
        <w:top w:val="none" w:sz="0" w:space="0" w:color="auto"/>
        <w:left w:val="none" w:sz="0" w:space="0" w:color="auto"/>
        <w:bottom w:val="none" w:sz="0" w:space="0" w:color="auto"/>
        <w:right w:val="none" w:sz="0" w:space="0" w:color="auto"/>
      </w:divBdr>
    </w:div>
    <w:div w:id="201090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uvergne-rhone-alpes.ars.sante.fr/protoxyde-dazote-risques-pour-sa-sante-et-comment-se-proteger"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assemblee-nationale.fr/dyn/17/textes/l17b0580_proposition-loi" TargetMode="External"/><Relationship Id="rId13" Type="http://schemas.openxmlformats.org/officeDocument/2006/relationships/hyperlink" Target="https://www.drogues.gouv.fr/sites/default/files/2022-09/Dossier_de_presse_Protoxyde_Azote.pdf" TargetMode="External"/><Relationship Id="rId18" Type="http://schemas.openxmlformats.org/officeDocument/2006/relationships/hyperlink" Target="mailto:ceip.addictovigilance@chu-toulouse.f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ddictovigilance.fr/"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tel:+33467336749" TargetMode="External"/><Relationship Id="rId25" Type="http://schemas.openxmlformats.org/officeDocument/2006/relationships/hyperlink" Target="https://hal.science/hal-03356692v1/document" TargetMode="External"/><Relationship Id="rId2" Type="http://schemas.openxmlformats.org/officeDocument/2006/relationships/numbering" Target="numbering.xml"/><Relationship Id="rId16" Type="http://schemas.openxmlformats.org/officeDocument/2006/relationships/hyperlink" Target="https://www.chu-montpellier.fr/fr/ceip" TargetMode="External"/><Relationship Id="rId20" Type="http://schemas.openxmlformats.org/officeDocument/2006/relationships/hyperlink" Target="https://2pao.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doi.org/10.3389/fpubh.2023.1167746" TargetMode="External"/><Relationship Id="rId5" Type="http://schemas.openxmlformats.org/officeDocument/2006/relationships/webSettings" Target="webSettings.xml"/><Relationship Id="rId15" Type="http://schemas.openxmlformats.org/officeDocument/2006/relationships/hyperlink" Target="https://www.drogues-info-service.fr/Tout-savoir-sur-les-drogues/Se-faire-aider/Les-Consultations-jeunes-consommateurs-CJC-une-aide-aux-jeunes-et-a-leur-entourage" TargetMode="External"/><Relationship Id="rId23" Type="http://schemas.openxmlformats.org/officeDocument/2006/relationships/hyperlink" Target="https://doi.org/10.1016/j.thromres.2024.109096" TargetMode="Externa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tel:+33561145606"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drogues-info-service.fr/Tout-savoir-sur-les-drogues/Se-faire-aider/Les-Consultations-jeunes-consommateurs-CJC-une-aide-aux-jeunes-et-a-leur-entourage" TargetMode="External"/><Relationship Id="rId22" Type="http://schemas.openxmlformats.org/officeDocument/2006/relationships/hyperlink" Target="https://doi.org/10.1016/j.therap.2024.10.057"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3A92D-BD47-4C27-B32A-C0507DB1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2048</Words>
  <Characters>11266</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CHANTOISEAU, Laurence (ARS-OC)</dc:creator>
  <cp:keywords/>
  <dc:description/>
  <cp:lastModifiedBy>CHOMA, Catherine (ARS-OC/DSP/DIRECTION)</cp:lastModifiedBy>
  <cp:revision>10</cp:revision>
  <dcterms:created xsi:type="dcterms:W3CDTF">2025-02-21T08:03:00Z</dcterms:created>
  <dcterms:modified xsi:type="dcterms:W3CDTF">2025-02-23T17:17:00Z</dcterms:modified>
</cp:coreProperties>
</file>